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湘西自治州药品医用耗材配送企业备案表</w:t>
      </w:r>
    </w:p>
    <w:p>
      <w:pPr>
        <w:rPr>
          <w:rFonts w:hint="eastAsia"/>
          <w:color w:val="000000"/>
          <w:lang w:val="en-US" w:eastAsia="zh-CN"/>
        </w:rPr>
      </w:pPr>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560"/>
        <w:gridCol w:w="1350"/>
        <w:gridCol w:w="157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备案类别</w:t>
            </w:r>
          </w:p>
        </w:tc>
        <w:tc>
          <w:tcPr>
            <w:tcW w:w="6510" w:type="dxa"/>
            <w:gridSpan w:val="4"/>
            <w:noWrap w:val="0"/>
            <w:vAlign w:val="top"/>
          </w:tcPr>
          <w:p>
            <w:pPr>
              <w:tabs>
                <w:tab w:val="left" w:pos="665"/>
              </w:tabs>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药品配送备案（）      医用耗材配送备案（）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配送企业名称</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统一社会信用代码</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注册地址</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仓库地址</w:t>
            </w:r>
          </w:p>
        </w:tc>
        <w:tc>
          <w:tcPr>
            <w:tcW w:w="6510" w:type="dxa"/>
            <w:gridSpan w:val="4"/>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法人姓名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企业负责人姓名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质量负责人姓名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业务联系人姓名</w:t>
            </w:r>
          </w:p>
        </w:tc>
        <w:tc>
          <w:tcPr>
            <w:tcW w:w="2910" w:type="dxa"/>
            <w:gridSpan w:val="2"/>
            <w:noWrap w:val="0"/>
            <w:vAlign w:val="top"/>
          </w:tcPr>
          <w:p>
            <w:pPr>
              <w:rPr>
                <w:rFonts w:hint="eastAsia" w:ascii="仿宋_GB2312" w:hAnsi="仿宋_GB2312" w:eastAsia="仿宋_GB2312" w:cs="仿宋_GB2312"/>
                <w:color w:val="000000"/>
                <w:sz w:val="30"/>
                <w:szCs w:val="30"/>
                <w:vertAlign w:val="baseline"/>
                <w:lang w:val="en-US" w:eastAsia="zh-CN"/>
              </w:rPr>
            </w:pPr>
          </w:p>
        </w:tc>
        <w:tc>
          <w:tcPr>
            <w:tcW w:w="1575" w:type="dxa"/>
            <w:noWrap w:val="0"/>
            <w:vAlign w:val="top"/>
          </w:tcPr>
          <w:p>
            <w:pP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联系电话</w:t>
            </w:r>
          </w:p>
        </w:tc>
        <w:tc>
          <w:tcPr>
            <w:tcW w:w="2025" w:type="dxa"/>
            <w:noWrap w:val="0"/>
            <w:vAlign w:val="top"/>
          </w:tcPr>
          <w:p>
            <w:pP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noWrap w:val="0"/>
            <w:vAlign w:val="center"/>
          </w:tcPr>
          <w:p>
            <w:pPr>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营业执照</w:t>
            </w:r>
          </w:p>
        </w:tc>
        <w:tc>
          <w:tcPr>
            <w:tcW w:w="1560"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成立日期</w:t>
            </w:r>
          </w:p>
        </w:tc>
        <w:tc>
          <w:tcPr>
            <w:tcW w:w="1350"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c>
          <w:tcPr>
            <w:tcW w:w="157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发证日期</w:t>
            </w:r>
          </w:p>
        </w:tc>
        <w:tc>
          <w:tcPr>
            <w:tcW w:w="202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898" w:type="dxa"/>
            <w:noWrap w:val="0"/>
            <w:vAlign w:val="center"/>
          </w:tcPr>
          <w:p>
            <w:pPr>
              <w:jc w:val="left"/>
              <w:rPr>
                <w:rFonts w:hint="eastAsia" w:ascii="仿宋_GB2312" w:hAnsi="仿宋_GB2312" w:eastAsia="仿宋_GB2312" w:cs="仿宋_GB2312"/>
                <w:color w:val="000000"/>
                <w:kern w:val="2"/>
                <w:sz w:val="30"/>
                <w:szCs w:val="30"/>
                <w:vertAlign w:val="baseline"/>
                <w:lang w:val="en-US" w:eastAsia="zh-CN" w:bidi="ar-SA"/>
              </w:rPr>
            </w:pPr>
            <w:r>
              <w:rPr>
                <w:rFonts w:hint="eastAsia" w:ascii="仿宋_GB2312" w:hAnsi="仿宋_GB2312" w:eastAsia="仿宋_GB2312" w:cs="仿宋_GB2312"/>
                <w:color w:val="000000"/>
                <w:sz w:val="30"/>
                <w:szCs w:val="30"/>
                <w:vertAlign w:val="baseline"/>
                <w:lang w:val="en-US" w:eastAsia="zh-CN"/>
              </w:rPr>
              <w:t>经营许可证</w:t>
            </w:r>
          </w:p>
        </w:tc>
        <w:tc>
          <w:tcPr>
            <w:tcW w:w="1560" w:type="dxa"/>
            <w:noWrap w:val="0"/>
            <w:vAlign w:val="center"/>
          </w:tcPr>
          <w:p>
            <w:pPr>
              <w:jc w:val="center"/>
              <w:rPr>
                <w:rFonts w:hint="eastAsia" w:ascii="仿宋_GB2312" w:hAnsi="仿宋_GB2312" w:eastAsia="仿宋_GB2312" w:cs="仿宋_GB2312"/>
                <w:color w:val="000000"/>
                <w:kern w:val="2"/>
                <w:sz w:val="30"/>
                <w:szCs w:val="30"/>
                <w:vertAlign w:val="baseline"/>
                <w:lang w:val="en-US" w:eastAsia="zh-CN" w:bidi="ar-SA"/>
              </w:rPr>
            </w:pPr>
            <w:r>
              <w:rPr>
                <w:rFonts w:hint="eastAsia" w:ascii="仿宋_GB2312" w:hAnsi="仿宋_GB2312" w:eastAsia="仿宋_GB2312" w:cs="仿宋_GB2312"/>
                <w:color w:val="000000"/>
                <w:kern w:val="2"/>
                <w:sz w:val="30"/>
                <w:szCs w:val="30"/>
                <w:vertAlign w:val="baseline"/>
                <w:lang w:val="en-US" w:eastAsia="zh-CN" w:bidi="ar-SA"/>
              </w:rPr>
              <w:t>发证日期</w:t>
            </w:r>
          </w:p>
        </w:tc>
        <w:tc>
          <w:tcPr>
            <w:tcW w:w="1350"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c>
          <w:tcPr>
            <w:tcW w:w="157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有效期</w:t>
            </w:r>
          </w:p>
        </w:tc>
        <w:tc>
          <w:tcPr>
            <w:tcW w:w="2025" w:type="dxa"/>
            <w:noWrap w:val="0"/>
            <w:vAlign w:val="center"/>
          </w:tcPr>
          <w:p>
            <w:pPr>
              <w:jc w:val="center"/>
              <w:rPr>
                <w:rFonts w:hint="eastAsia" w:ascii="仿宋_GB2312" w:hAnsi="仿宋_GB2312" w:eastAsia="仿宋_GB2312" w:cs="仿宋_GB2312"/>
                <w:color w:val="00000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898" w:type="dxa"/>
            <w:noWrap w:val="0"/>
            <w:vAlign w:val="center"/>
          </w:tcPr>
          <w:p>
            <w:pPr>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备案提交日期</w:t>
            </w:r>
          </w:p>
        </w:tc>
        <w:tc>
          <w:tcPr>
            <w:tcW w:w="6510" w:type="dxa"/>
            <w:gridSpan w:val="4"/>
            <w:noWrap w:val="0"/>
            <w:vAlign w:val="center"/>
          </w:tcPr>
          <w:p>
            <w:pPr>
              <w:ind w:firstLine="1200" w:firstLineChars="400"/>
              <w:jc w:val="both"/>
              <w:rPr>
                <w:rFonts w:hint="eastAsia" w:ascii="仿宋_GB2312" w:hAnsi="仿宋_GB2312" w:eastAsia="仿宋_GB2312" w:cs="仿宋_GB2312"/>
                <w:color w:val="000000"/>
                <w:sz w:val="30"/>
                <w:szCs w:val="30"/>
                <w:vertAlign w:val="baseline"/>
                <w:lang w:val="en-US" w:eastAsia="zh-CN"/>
              </w:rPr>
            </w:pPr>
          </w:p>
          <w:p>
            <w:pPr>
              <w:ind w:firstLine="3300" w:firstLineChars="1100"/>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年   月   日</w:t>
            </w:r>
          </w:p>
          <w:p>
            <w:pPr>
              <w:ind w:firstLine="3300" w:firstLineChars="1100"/>
              <w:jc w:val="both"/>
              <w:rPr>
                <w:rFonts w:hint="eastAsia" w:ascii="仿宋_GB2312" w:hAnsi="仿宋_GB2312" w:eastAsia="仿宋_GB2312" w:cs="仿宋_GB2312"/>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（单位公章）</w:t>
            </w:r>
          </w:p>
        </w:tc>
      </w:tr>
    </w:tbl>
    <w:p>
      <w:pPr>
        <w:numPr>
          <w:ilvl w:val="0"/>
          <w:numId w:val="0"/>
        </w:numPr>
        <w:spacing w:line="56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说明：提交申请表时需附企业的《药品经营许可证》或《医疗器械经营许可证》、《营业执照》复印件。</w:t>
      </w:r>
    </w:p>
    <w:p>
      <w:pPr>
        <w:pStyle w:val="2"/>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lang w:val="en-US" w:eastAsia="zh-CN"/>
        </w:rPr>
      </w:pPr>
      <w:r>
        <w:rPr>
          <w:rFonts w:hint="eastAsia" w:ascii="仿宋_GB2312" w:hAnsi="仿宋_GB2312" w:eastAsia="仿宋_GB2312" w:cs="仿宋_GB2312"/>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lang w:val="en-US" w:eastAsia="zh-CN"/>
        </w:rPr>
        <w:t>湘西州药品和医用耗材企业信息变更申请表</w:t>
      </w:r>
    </w:p>
    <w:p>
      <w:pPr>
        <w:pStyle w:val="2"/>
        <w:rPr>
          <w:rFonts w:hint="eastAsia"/>
          <w:color w:val="000000"/>
        </w:rPr>
      </w:pPr>
    </w:p>
    <w:tbl>
      <w:tblPr>
        <w:tblStyle w:val="8"/>
        <w:tblW w:w="9420"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0"/>
        <w:gridCol w:w="1575"/>
        <w:gridCol w:w="1665"/>
        <w:gridCol w:w="1695"/>
        <w:gridCol w:w="169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94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变更申报企业：                               联系人电话：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123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变更信息</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变更机构名称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变更法人</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变更注册地址</w:t>
            </w:r>
            <w:r>
              <w:rPr>
                <w:rFonts w:hint="eastAsia" w:ascii="仿宋_GB2312" w:hAnsi="仿宋_GB2312" w:eastAsia="仿宋_GB2312" w:cs="仿宋_GB2312"/>
                <w:i w:val="0"/>
                <w:color w:val="000000"/>
                <w:sz w:val="24"/>
                <w:szCs w:val="24"/>
                <w:u w:val="none"/>
                <w:lang w:val="en-US" w:eastAsia="zh-CN"/>
              </w:rPr>
              <w:t xml:space="preserve"> </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变更经营范围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val="en-US" w:eastAsia="zh-CN"/>
              </w:rPr>
              <w:t>变更货款结算银行账户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123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66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6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6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9" w:hRule="atLeast"/>
        </w:trPr>
        <w:tc>
          <w:tcPr>
            <w:tcW w:w="1230"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19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（变更具体内容）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123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申报日期 </w:t>
            </w:r>
          </w:p>
        </w:tc>
        <w:tc>
          <w:tcPr>
            <w:tcW w:w="8190" w:type="dxa"/>
            <w:gridSpan w:val="5"/>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    月     日</w:t>
            </w:r>
          </w:p>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w:t>
            </w:r>
          </w:p>
          <w:p>
            <w:pPr>
              <w:keepNext w:val="0"/>
              <w:keepLines w:val="0"/>
              <w:widowControl/>
              <w:suppressLineNumbers w:val="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企业公章</w:t>
            </w:r>
          </w:p>
        </w:tc>
      </w:tr>
    </w:tbl>
    <w:p>
      <w:pPr>
        <w:numPr>
          <w:ilvl w:val="0"/>
          <w:numId w:val="0"/>
        </w:numPr>
        <w:spacing w:line="56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说明：提交申请表时需附有关部门批准变更的相关资料，如已变更的《药品经营许可证》或《医疗器械经营许可证》、《营业执照》复印件及变更资料。</w:t>
      </w:r>
    </w:p>
    <w:p>
      <w:pPr>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附件3</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105" w:leftChars="-50" w:right="-105" w:rightChars="-5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医药企业价格和营销行为信用承诺书</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（模 板）</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lang w:eastAsia="zh-CN"/>
        </w:rPr>
        <w:t>湖南</w:t>
      </w:r>
      <w:r>
        <w:rPr>
          <w:rFonts w:hint="eastAsia" w:ascii="仿宋_GB2312" w:hAnsi="仿宋_GB2312" w:eastAsia="仿宋_GB2312" w:cs="仿宋_GB2312"/>
          <w:color w:val="000000"/>
          <w:sz w:val="32"/>
          <w:szCs w:val="32"/>
          <w:u w:val="none"/>
        </w:rPr>
        <w:t>省</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（市</w:t>
      </w:r>
      <w:r>
        <w:rPr>
          <w:rFonts w:hint="eastAsia" w:ascii="仿宋_GB2312" w:hAnsi="仿宋_GB2312" w:eastAsia="仿宋_GB2312" w:cs="仿宋_GB2312"/>
          <w:color w:val="000000"/>
          <w:sz w:val="32"/>
          <w:szCs w:val="32"/>
          <w:u w:val="none"/>
          <w:lang w:eastAsia="zh-CN"/>
        </w:rPr>
        <w:t>、州</w:t>
      </w:r>
      <w:r>
        <w:rPr>
          <w:rFonts w:hint="eastAsia" w:ascii="仿宋_GB2312" w:hAnsi="仿宋_GB2312" w:eastAsia="仿宋_GB2312" w:cs="仿宋_GB2312"/>
          <w:color w:val="000000"/>
          <w:sz w:val="32"/>
          <w:szCs w:val="32"/>
          <w:u w:val="none"/>
        </w:rPr>
        <w:t>）药品和医用耗材集中采购机构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sz w:val="32"/>
          <w:szCs w:val="32"/>
        </w:rPr>
        <w:t>我方</w:t>
      </w:r>
      <w:r>
        <w:rPr>
          <w:rFonts w:hint="eastAsia" w:ascii="仿宋_GB2312" w:hAnsi="仿宋_GB2312" w:eastAsia="仿宋_GB2312" w:cs="仿宋_GB2312"/>
          <w:color w:val="000000"/>
          <w:sz w:val="32"/>
          <w:szCs w:val="32"/>
          <w:u w:val="single"/>
        </w:rPr>
        <w:t xml:space="preserve">      （×××公司）      </w:t>
      </w:r>
      <w:r>
        <w:rPr>
          <w:rFonts w:hint="eastAsia" w:ascii="仿宋_GB2312" w:hAnsi="仿宋_GB2312" w:eastAsia="仿宋_GB2312" w:cs="仿宋_GB2312"/>
          <w:color w:val="000000"/>
          <w:sz w:val="32"/>
          <w:szCs w:val="32"/>
        </w:rPr>
        <w:t>，就在你省</w:t>
      </w:r>
      <w:r>
        <w:rPr>
          <w:rFonts w:hint="eastAsia" w:ascii="仿宋_GB2312" w:hAnsi="仿宋_GB2312" w:eastAsia="仿宋_GB2312" w:cs="仿宋_GB2312"/>
          <w:color w:val="000000"/>
          <w:sz w:val="32"/>
          <w:szCs w:val="32"/>
          <w:lang w:val="en"/>
        </w:rPr>
        <w:t>_________</w:t>
      </w:r>
      <w:r>
        <w:rPr>
          <w:rFonts w:hint="eastAsia" w:ascii="仿宋_GB2312" w:hAnsi="仿宋_GB2312" w:eastAsia="仿宋_GB2312" w:cs="仿宋_GB2312"/>
          <w:color w:val="000000"/>
          <w:sz w:val="32"/>
          <w:szCs w:val="32"/>
        </w:rPr>
        <w:t>（区、市）参加或受委托参加药品和医用耗材集中带量采购、平台挂网、产品配送，郑重做出以下承诺：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一、严守法纪、恪守诚信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（一）我方承诺，自觉遵守《</w:t>
      </w:r>
      <w:r>
        <w:rPr>
          <w:rFonts w:hint="eastAsia" w:ascii="仿宋_GB2312" w:hAnsi="仿宋_GB2312" w:eastAsia="仿宋_GB2312" w:cs="仿宋_GB2312"/>
          <w:color w:val="000000"/>
          <w:sz w:val="32"/>
          <w:szCs w:val="32"/>
          <w:lang w:eastAsia="zh-CN"/>
        </w:rPr>
        <w:t>中华人民共和国</w:t>
      </w:r>
      <w:r>
        <w:rPr>
          <w:rFonts w:hint="eastAsia" w:ascii="仿宋_GB2312" w:hAnsi="仿宋_GB2312" w:eastAsia="仿宋_GB2312" w:cs="仿宋_GB2312"/>
          <w:color w:val="000000"/>
          <w:sz w:val="32"/>
          <w:szCs w:val="32"/>
        </w:rPr>
        <w:t>民法</w:t>
      </w:r>
      <w:r>
        <w:rPr>
          <w:rFonts w:hint="eastAsia" w:ascii="仿宋_GB2312" w:hAnsi="仿宋_GB2312" w:eastAsia="仿宋_GB2312" w:cs="仿宋_GB2312"/>
          <w:color w:val="000000"/>
          <w:sz w:val="32"/>
          <w:szCs w:val="32"/>
          <w:lang w:eastAsia="zh-CN"/>
        </w:rPr>
        <w:t>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中华人民共和国</w:t>
      </w:r>
      <w:r>
        <w:rPr>
          <w:rFonts w:hint="eastAsia" w:ascii="仿宋_GB2312" w:hAnsi="仿宋_GB2312" w:eastAsia="仿宋_GB2312" w:cs="仿宋_GB2312"/>
          <w:color w:val="000000"/>
          <w:sz w:val="32"/>
          <w:szCs w:val="32"/>
        </w:rPr>
        <w:t>价格法》《</w:t>
      </w:r>
      <w:r>
        <w:rPr>
          <w:rFonts w:hint="eastAsia" w:ascii="仿宋_GB2312" w:hAnsi="仿宋_GB2312" w:eastAsia="仿宋_GB2312" w:cs="仿宋_GB2312"/>
          <w:color w:val="000000"/>
          <w:sz w:val="32"/>
          <w:szCs w:val="32"/>
          <w:lang w:eastAsia="zh-CN"/>
        </w:rPr>
        <w:t>中华人民共和国</w:t>
      </w:r>
      <w:r>
        <w:rPr>
          <w:rFonts w:hint="eastAsia" w:ascii="仿宋_GB2312" w:hAnsi="仿宋_GB2312" w:eastAsia="仿宋_GB2312" w:cs="仿宋_GB2312"/>
          <w:color w:val="000000"/>
          <w:sz w:val="32"/>
          <w:szCs w:val="32"/>
        </w:rPr>
        <w:t>药品管理法》等法律法规，医药价格和招标采购的政策，以</w:t>
      </w:r>
      <w:r>
        <w:rPr>
          <w:rFonts w:hint="eastAsia" w:ascii="仿宋_GB2312" w:hAnsi="仿宋_GB2312" w:eastAsia="仿宋_GB2312" w:cs="仿宋_GB2312"/>
          <w:color w:val="000000"/>
          <w:sz w:val="32"/>
          <w:szCs w:val="32"/>
          <w:u w:val="none"/>
        </w:rPr>
        <w:t>及（相关的集中采购文件）</w:t>
      </w:r>
      <w:r>
        <w:rPr>
          <w:rFonts w:hint="eastAsia" w:ascii="仿宋_GB2312" w:hAnsi="仿宋_GB2312" w:eastAsia="仿宋_GB2312" w:cs="仿宋_GB2312"/>
          <w:color w:val="000000"/>
          <w:sz w:val="32"/>
          <w:szCs w:val="32"/>
        </w:rPr>
        <w:t>之规定，诚信经营，共同营造公平的交易环境。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（二）我方承诺，不向采购我方药品（医用耗材）的医疗机构管理人员、采购人员、医师、药师等有关人员给予回扣或其他不正当利益。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（三）我方承诺，不实施虚开虚受增值税发票及其他形式虚构服务套现洗钱行为。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（四）我方承诺，不利用药品（医用耗材）垄断地位或市场支配地位，操纵药品（医用耗材）价格和供应牟取暴利。不针对不同群体、不同渠道制定实施明显不合理的差异化定价。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二、履行合同、配合监管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（一）我方承诺，具有履行协议必须具备的药品（医用耗材）供应能力，除我方不可抗的因素造成供应困难外，保证在采购周期按照中标（挂网）价格及时足量供应药品（医用耗材），满足临床需求。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（三）我方承诺，及时、全面、完整、规范申报失信信息，不漏报，不瞒报，不推诿。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三、违约担责，接受处置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（一）我方承诺，如我方药品（医用耗材）购销中存在违背已承诺事项的，我方愿意接受集中采购机构作出的信用评级结果以及结合信用等级实施的处置措施。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（四）我方承诺，主动维护良好信用，必要时采取切实措施修复信用。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承诺企业（盖章）: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3840" w:firstLineChars="1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000000"/>
          <w:sz w:val="32"/>
          <w:szCs w:val="32"/>
          <w:u w:val="none"/>
        </w:rPr>
      </w:pPr>
    </w:p>
    <w:p>
      <w:pPr>
        <w:pStyle w:val="2"/>
        <w:rPr>
          <w:rFonts w:hint="eastAsia" w:ascii="仿宋_GB2312" w:hAnsi="仿宋_GB2312" w:eastAsia="仿宋_GB2312" w:cs="仿宋_GB2312"/>
          <w:color w:val="000000"/>
          <w:sz w:val="32"/>
          <w:szCs w:val="32"/>
          <w:u w:val="none"/>
        </w:rPr>
      </w:pPr>
    </w:p>
    <w:p>
      <w:pPr>
        <w:rPr>
          <w:rFonts w:hint="eastAsia"/>
          <w:color w:val="000000"/>
        </w:rPr>
        <w:sectPr>
          <w:footerReference r:id="rId3" w:type="default"/>
          <w:pgSz w:w="11906" w:h="16838"/>
          <w:pgMar w:top="1440" w:right="1474" w:bottom="1440" w:left="1587" w:header="851" w:footer="992" w:gutter="0"/>
          <w:pgNumType w:fmt="decimal" w:start="2"/>
          <w:cols w:space="720" w:num="1"/>
          <w:rtlGutter w:val="0"/>
          <w:docGrid w:type="lines" w:linePitch="315" w:charSpace="0"/>
        </w:sectPr>
      </w:pPr>
    </w:p>
    <w:tbl>
      <w:tblPr>
        <w:tblStyle w:val="8"/>
        <w:tblW w:w="15424"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080"/>
        <w:gridCol w:w="5025"/>
        <w:gridCol w:w="690"/>
        <w:gridCol w:w="5595"/>
        <w:gridCol w:w="2107"/>
        <w:gridCol w:w="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5424"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湘西自治州药品医用耗材采购配送管理季度考评细则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考核内容</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考评指标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分值</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评分标准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21"/>
                <w:szCs w:val="21"/>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21"/>
                <w:szCs w:val="21"/>
                <w:u w:val="none"/>
                <w:lang w:val="en-US" w:eastAsia="zh-CN" w:bidi="ar"/>
                <w14:textFill>
                  <w14:solidFill>
                    <w14:schemeClr w14:val="tx1"/>
                  </w14:solidFill>
                </w14:textFill>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订单响应及时情况</w:t>
            </w:r>
          </w:p>
        </w:tc>
        <w:tc>
          <w:tcPr>
            <w:tcW w:w="50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配送企业在医疗机构发送订单后24小时内完成订单确认；订单确认后48小时内送到，特殊情况须与订单单位协商同意，可延至72小时。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000000" w:themeColor="text1"/>
                <w:sz w:val="21"/>
                <w:szCs w:val="21"/>
                <w:u w:val="none"/>
                <w:lang w:val="en-US"/>
                <w14:textFill>
                  <w14:solidFill>
                    <w14:schemeClr w14:val="tx1"/>
                  </w14:solidFill>
                </w14:textFill>
              </w:rPr>
            </w:pPr>
          </w:p>
        </w:tc>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20分</w:t>
            </w:r>
          </w:p>
        </w:tc>
        <w:tc>
          <w:tcPr>
            <w:tcW w:w="55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000000" w:themeColor="text1"/>
                <w:kern w:val="0"/>
                <w:sz w:val="21"/>
                <w:szCs w:val="21"/>
                <w:u w:val="none"/>
                <w:lang w:val="en"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每个季度内医疗机构订单发送后，48小时配送企业发货订单数占总订单数的比例%，及时发货率</w:t>
            </w:r>
            <w: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90%记满分，80%-89%之间的记15分，79%-70%之间的记10分，70%以下的不得分。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2396"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产品库存情况</w:t>
            </w:r>
          </w:p>
        </w:tc>
        <w:tc>
          <w:tcPr>
            <w:tcW w:w="50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应保障药品和医用耗材储备量，原则上常用产品不得少于医疗机构1个月常用量库存，急抢救、短缺药品不得少于医疗机构3个月常用量库存（效期及存储条件有特殊要求的除外）。配送企业必须及时维护本企业在湘西专区系统库存数量</w:t>
            </w:r>
          </w:p>
          <w:p>
            <w:pPr>
              <w:pStyle w:val="2"/>
              <w:rPr>
                <w:rFonts w:hint="eastAsia"/>
                <w:color w:val="000000" w:themeColor="text1"/>
                <w:lang w:val="en-US" w:eastAsia="zh-CN"/>
                <w14:textFill>
                  <w14:solidFill>
                    <w14:schemeClr w14:val="tx1"/>
                  </w14:solidFill>
                </w14:textFill>
              </w:rPr>
            </w:pPr>
          </w:p>
        </w:tc>
        <w:tc>
          <w:tcPr>
            <w:tcW w:w="690" w:type="dxa"/>
            <w:tcBorders>
              <w:top w:val="single" w:color="auto"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20分</w:t>
            </w:r>
          </w:p>
        </w:tc>
        <w:tc>
          <w:tcPr>
            <w:tcW w:w="55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企业未按要求储备库存，未及时维护本企业在湘西专区系统库存数量，平台挂网产品库存为0库存或医疗机构投诉有库存但实际无货供应经核实的，一个产品扣1分，扣完为止。</w:t>
            </w:r>
          </w:p>
        </w:tc>
        <w:tc>
          <w:tcPr>
            <w:tcW w:w="2396"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三明联盟（全国）湘西专区药品耗材采购系统、医疗机构投诉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0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配送医疗机构覆盖率</w:t>
            </w:r>
          </w:p>
        </w:tc>
        <w:tc>
          <w:tcPr>
            <w:tcW w:w="50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配送企业应具备覆盖全州所有医疗卫生机构的配送能力。</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医疗机构数占平台采购医疗机构总数占比80%以上的得5分，60-79%的得4分；40%-59%的得3分；31%-39%以下的得2分，30%以下的不得分。配送基层医疗卫生机构数占比80%以上的得5分，60-79%的得4分；40%-59%的得3分；31%-39%以下的得2分，30%以下的不得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配送品种数量占比</w:t>
            </w:r>
          </w:p>
        </w:tc>
        <w:tc>
          <w:tcPr>
            <w:tcW w:w="5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配送品种齐全，满足医疗机构临床需求，优先配送国家集采中选产品和国家基本药物</w:t>
            </w:r>
          </w:p>
          <w:p>
            <w:pPr>
              <w:pStyle w:val="2"/>
              <w:rPr>
                <w:rFonts w:hint="eastAsia"/>
                <w:color w:val="000000" w:themeColor="text1"/>
                <w:lang w:val="en-US" w:eastAsia="zh-CN"/>
                <w14:textFill>
                  <w14:solidFill>
                    <w14:schemeClr w14:val="tx1"/>
                  </w14:solidFill>
                </w14:textFill>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实际配送品种占平台挂网品种数80%以上的得5分，60-79%的得4分；40%-59%的得3分；31%-39%以下的得2分，30%以下的不得分。配送集采</w:t>
            </w:r>
            <w:bookmarkStart w:id="0" w:name="_GoBack"/>
            <w:bookmarkEnd w:id="0"/>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品种和基药占平台挂网集采和基药品种数80%以上的得5分，60-79%的得4分；40%-59%的得3分；31%-39%以下的得2分，30%以下的不得分。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配送承诺情况</w:t>
            </w:r>
          </w:p>
        </w:tc>
        <w:tc>
          <w:tcPr>
            <w:tcW w:w="5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委托配送周期内配送企业无正当理由不得随意撤消配送，或者有配送权但实际不配送的。</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委托配送周期内配送企业撤消一个产品配送的扣1分（因产品停产、召回、退市、批件失效等因素除外），扣完为止；有配送权但实际医疗机构有采购需求无货配送的，发现一个产品扣1分，扣完为止。</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三明联盟（全国）湘西专区药品耗材采购系统、医疗机构投诉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t>6</w:t>
            </w:r>
          </w:p>
        </w:tc>
        <w:tc>
          <w:tcPr>
            <w:tcW w:w="1080"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两票制执行情况</w:t>
            </w:r>
          </w:p>
        </w:tc>
        <w:tc>
          <w:tcPr>
            <w:tcW w:w="50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配送药品和医用耗材符合“两票制”要求（规定暂不执行的品种除外），货票同行、票物相符，及时在湘西专区系统上传电子票据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每个季度内未按要求上传两票的发现一次扣1分，未执行两票的发现一次扣5分，扣完为止。</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结算审核（各级医保经办提供）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7</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价格执行情况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配送企业必须严格按照平台挂网价格及集采中选价格配送。</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配送企业配送价格不得高于挂网价格及集采中选价格，发现一次扣5分。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日常监测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8</w:t>
            </w:r>
          </w:p>
        </w:tc>
        <w:tc>
          <w:tcPr>
            <w:tcW w:w="10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线上采购情况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按要求线上采购配送，严禁线下交易。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z w:val="21"/>
                <w:szCs w:val="21"/>
                <w:u w:val="none"/>
                <w14:textFill>
                  <w14:solidFill>
                    <w14:schemeClr w14:val="tx1"/>
                  </w14:solidFill>
                </w14:textFill>
              </w:rPr>
              <w:t>配送企业违反相关规定线下配送规定挂网采购的药品和医用耗材的，或应急配送后未在规定时间内（10日内）线上补录订单的，发现一次扣5分。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日常监测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合同签订情况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按要求签订采购配送结算三方协议；国家、省（省级联盟）集采中选产品三方购销合同。</w:t>
            </w:r>
          </w:p>
          <w:p>
            <w:pPr>
              <w:pStyle w:val="2"/>
              <w:rPr>
                <w:rFonts w:hint="eastAsia"/>
                <w:color w:val="000000" w:themeColor="text1"/>
                <w:lang w:val="en-US" w:eastAsia="zh-CN"/>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未按要求签订采购配送结算三方协议扣3分；未按要求签订国家、省（省级联盟）集采三方购销合同扣2分。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z w:val="21"/>
                <w:szCs w:val="21"/>
                <w:u w:val="none"/>
                <w14:textFill>
                  <w14:solidFill>
                    <w14:schemeClr w14:val="tx1"/>
                  </w14:solidFill>
                </w14:textFill>
              </w:rPr>
              <w:t>三方协议签订情况由各级医保经办提供；三方购销合同签订情况由州医保经办提供，数据来源三明联盟（全国）湘西专区药品耗材采购系统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 w:eastAsia="zh-CN" w:bidi="ar"/>
                <w14:textFill>
                  <w14:solidFill>
                    <w14:schemeClr w14:val="tx1"/>
                  </w14:solidFill>
                </w14:textFill>
              </w:rPr>
              <w:t>结算申请表提交情况</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配送企业按要求及时提交药品和医用耗材货款结算申请表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5分</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配送企业每月15日前提交申请表，逾期1次扣1分；逾期两次扣3分；逾期3次扣5分。</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结算审核（各级医保经办提供）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9" w:type="dxa"/>
          <w:trHeight w:val="660" w:hRule="atLeast"/>
        </w:trPr>
        <w:tc>
          <w:tcPr>
            <w:tcW w:w="15135"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i w:val="0"/>
                <w:color w:val="000000"/>
                <w:kern w:val="0"/>
                <w:sz w:val="21"/>
                <w:szCs w:val="21"/>
                <w:u w:val="none"/>
                <w:lang w:val="en-US" w:eastAsia="zh-CN" w:bidi="ar"/>
              </w:rPr>
              <w:t>备注:1</w:t>
            </w:r>
            <w:r>
              <w:rPr>
                <w:rFonts w:hint="eastAsia"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生产企业作为配送企业仅销售本企业（集团）产品的不参与考评。2</w:t>
            </w:r>
            <w:r>
              <w:rPr>
                <w:rFonts w:hint="eastAsia"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企业当年备案时间少于3个月的不参与当年度考核，超过3个月以上的纳入考评。</w:t>
            </w:r>
          </w:p>
        </w:tc>
      </w:tr>
    </w:tbl>
    <w:p>
      <w:pPr>
        <w:rPr>
          <w:rFonts w:hint="eastAsia" w:ascii="仿宋_GB2312" w:hAnsi="仿宋_GB2312" w:eastAsia="仿宋_GB2312" w:cs="仿宋_GB2312"/>
          <w:color w:val="000000"/>
          <w:sz w:val="32"/>
          <w:szCs w:val="32"/>
          <w:lang w:val="en-US" w:eastAsia="zh-CN"/>
        </w:rPr>
      </w:pPr>
    </w:p>
    <w:p>
      <w:pPr>
        <w:pStyle w:val="2"/>
        <w:ind w:left="0" w:leftChars="0" w:firstLine="0" w:firstLineChars="0"/>
        <w:rPr>
          <w:rFonts w:hint="eastAsia" w:ascii="仿宋_GB2312" w:hAnsi="仿宋_GB2312" w:eastAsia="仿宋_GB2312" w:cs="仿宋_GB2312"/>
          <w:color w:val="000000"/>
          <w:sz w:val="32"/>
          <w:szCs w:val="32"/>
          <w:lang w:val="en-US" w:eastAsia="zh-CN"/>
        </w:rPr>
        <w:sectPr>
          <w:footerReference r:id="rId5" w:type="first"/>
          <w:footerReference r:id="rId4" w:type="default"/>
          <w:pgSz w:w="16838" w:h="11906" w:orient="landscape"/>
          <w:pgMar w:top="1417" w:right="1587" w:bottom="1417" w:left="1417" w:header="851" w:footer="992" w:gutter="0"/>
          <w:pgNumType w:fmt="decimal"/>
          <w:cols w:space="720" w:num="1"/>
          <w:titlePg/>
          <w:rtlGutter w:val="0"/>
          <w:docGrid w:type="lines" w:linePitch="324" w:charSpace="0"/>
        </w:sectPr>
      </w:pPr>
    </w:p>
    <w:p>
      <w:pPr>
        <w:pStyle w:val="2"/>
        <w:ind w:left="0" w:leftChars="0" w:firstLine="0" w:firstLineChars="0"/>
        <w:rPr>
          <w:rFonts w:hint="default"/>
          <w:color w:val="000000"/>
          <w:lang w:val="en-US" w:eastAsia="zh-CN"/>
        </w:rPr>
      </w:pPr>
      <w:r>
        <w:rPr>
          <w:rFonts w:hint="eastAsia" w:ascii="仿宋_GB2312" w:hAnsi="仿宋_GB2312" w:eastAsia="仿宋_GB2312" w:cs="仿宋_GB2312"/>
          <w:color w:val="000000"/>
          <w:sz w:val="32"/>
          <w:szCs w:val="32"/>
          <w:lang w:val="en-US" w:eastAsia="zh-CN"/>
        </w:rPr>
        <w:t>附件5</w:t>
      </w:r>
    </w:p>
    <w:tbl>
      <w:tblPr>
        <w:tblStyle w:val="8"/>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4"/>
        <w:gridCol w:w="1830"/>
        <w:gridCol w:w="4192"/>
        <w:gridCol w:w="1734"/>
        <w:gridCol w:w="321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86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湘西自治州药品医用耗材采购配送管理年度考评细则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考评内容</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考评指标</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分值</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评分办法</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季度情况</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取企业季度考评平均分计入年度综合得分</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季度考评总分/4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每季度考评情况</w:t>
            </w:r>
          </w:p>
        </w:tc>
      </w:tr>
    </w:tbl>
    <w:p>
      <w:pPr>
        <w:rPr>
          <w:rFonts w:hint="default"/>
          <w:lang w:val="en-US" w:eastAsia="zh-CN"/>
        </w:rPr>
      </w:pPr>
    </w:p>
    <w:p>
      <w:pPr>
        <w:rPr>
          <w:rFonts w:hint="default"/>
          <w:lang w:val="en-US" w:eastAsia="zh-CN"/>
        </w:rPr>
      </w:pPr>
      <w:r>
        <w:rPr>
          <w:rFonts w:hint="eastAsia" w:ascii="仿宋_GB2312" w:hAnsi="仿宋_GB2312" w:eastAsia="仿宋_GB2312" w:cs="仿宋_GB2312"/>
          <w:sz w:val="32"/>
          <w:szCs w:val="32"/>
          <w:lang w:val="en-US" w:eastAsia="zh-CN"/>
        </w:rPr>
        <w:t xml:space="preserve">      </w:t>
      </w:r>
    </w:p>
    <w:p>
      <w:pPr>
        <w:sectPr>
          <w:headerReference r:id="rId6" w:type="default"/>
          <w:footerReference r:id="rId7" w:type="default"/>
          <w:pgSz w:w="16838" w:h="11906" w:orient="landscape"/>
          <w:pgMar w:top="1587" w:right="1440" w:bottom="1474" w:left="1440" w:header="851" w:footer="992" w:gutter="0"/>
          <w:pgNumType w:fmt="decimal" w:start="17"/>
          <w:cols w:space="720" w:num="1"/>
          <w:docGrid w:type="lines" w:linePitch="312" w:charSpace="0"/>
        </w:sectPr>
      </w:pPr>
    </w:p>
    <w:p>
      <w:pPr>
        <w:pStyle w:val="2"/>
        <w:ind w:left="0" w:leftChars="0" w:firstLine="0" w:firstLineChars="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6"/>
      </w:pPr>
    </w:p>
    <w:p>
      <w:pPr>
        <w:pStyle w:val="3"/>
      </w:pPr>
    </w:p>
    <w:p/>
    <w:p>
      <w:pPr>
        <w:pStyle w:val="6"/>
      </w:pPr>
    </w:p>
    <w:p>
      <w:pPr>
        <w:pStyle w:val="3"/>
      </w:pPr>
    </w:p>
    <w:p/>
    <w:p>
      <w:pPr>
        <w:pStyle w:val="2"/>
      </w:pP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190500</wp:posOffset>
                </wp:positionV>
                <wp:extent cx="5756910" cy="635"/>
                <wp:effectExtent l="0" t="0" r="0" b="0"/>
                <wp:wrapNone/>
                <wp:docPr id="331" name="直接箭头连接符 331"/>
                <wp:cNvGraphicFramePr/>
                <a:graphic xmlns:a="http://schemas.openxmlformats.org/drawingml/2006/main">
                  <a:graphicData uri="http://schemas.microsoft.com/office/word/2010/wordprocessingShape">
                    <wps:wsp>
                      <wps:cNvCnPr/>
                      <wps:spPr>
                        <a:xfrm>
                          <a:off x="0" y="0"/>
                          <a:ext cx="5756910"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5pt;margin-top:15pt;height:0.05pt;width:453.3pt;z-index:251659264;mso-width-relative:page;mso-height-relative:page;" filled="f" stroked="t" coordsize="21600,21600" o:gfxdata="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3Cmc31QAAAAgBAAAP&#10;AAAAAAAAAAEAIAAAADgAAABkcnMvZG93bnJldi54bWxQSwECFAAUAAAACACHTuJAhtuPRwUCAAAB&#10;BAAADgAAAAAAAAABACAAAAA6AQAAZHJzL2Uyb0RvYy54bWxQSwUGAAAAAAYABgBZAQAAsQUAAAAA&#10;">
                <v:fill on="f" focussize="0,0"/>
                <v:stroke weight="1pt" color="#000000" joinstyle="round"/>
                <v:imagedata o:title=""/>
                <o:lock v:ext="edit" aspectratio="f"/>
              </v:shape>
            </w:pict>
          </mc:Fallback>
        </mc:AlternateContent>
      </w:r>
    </w:p>
    <w:p>
      <w:r>
        <w:rPr>
          <w:rFonts w:hint="eastAsia" w:ascii="仿宋_GB2312" w:hAnsi="仿宋_GB2312" w:eastAsia="仿宋_GB2312" w:cs="仿宋_GB2312"/>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367030</wp:posOffset>
                </wp:positionV>
                <wp:extent cx="5756910" cy="635"/>
                <wp:effectExtent l="0" t="0" r="0" b="0"/>
                <wp:wrapNone/>
                <wp:docPr id="333" name="直接箭头连接符 333"/>
                <wp:cNvGraphicFramePr/>
                <a:graphic xmlns:a="http://schemas.openxmlformats.org/drawingml/2006/main">
                  <a:graphicData uri="http://schemas.microsoft.com/office/word/2010/wordprocessingShape">
                    <wps:wsp>
                      <wps:cNvCnPr/>
                      <wps:spPr>
                        <a:xfrm>
                          <a:off x="0" y="0"/>
                          <a:ext cx="5756910" cy="63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1pt;margin-top:28.9pt;height:0.05pt;width:453.3pt;z-index:251660288;mso-width-relative:page;mso-height-relative:page;" filled="f" stroked="t" coordsize="21600,21600" o:gfxdata="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LExnH1QAAAAgBAAAP&#10;AAAAAAAAAAEAIAAAADgAAABkcnMvZG93bnJldi54bWxQSwECFAAUAAAACACHTuJAU/PubwUCAAAB&#10;BAAADgAAAAAAAAABACAAAAA6AQAAZHJzL2Uyb0RvYy54bWxQSwUGAAAAAAYABgBZAQAAsQUAAAAA&#10;">
                <v:fill on="f" focussize="0,0"/>
                <v:stroke weight="1pt" color="#000000" joinstyle="round"/>
                <v:imagedata o:title=""/>
                <o:lock v:ext="edit" aspectratio="f"/>
              </v:shape>
            </w:pict>
          </mc:Fallback>
        </mc:AlternateContent>
      </w:r>
      <w:r>
        <w:rPr>
          <w:rFonts w:hint="eastAsia" w:ascii="仿宋_GB2312" w:hAnsi="仿宋_GB2312" w:eastAsia="仿宋_GB2312" w:cs="仿宋_GB2312"/>
          <w:spacing w:val="0"/>
          <w:sz w:val="32"/>
          <w:szCs w:val="32"/>
        </w:rPr>
        <w:t>湘西自治州医疗保障</w:t>
      </w:r>
      <w:r>
        <w:rPr>
          <w:rFonts w:hint="eastAsia" w:ascii="仿宋_GB2312" w:hAnsi="仿宋_GB2312" w:eastAsia="仿宋_GB2312" w:cs="仿宋_GB2312"/>
          <w:spacing w:val="0"/>
          <w:sz w:val="32"/>
          <w:szCs w:val="32"/>
          <w:lang w:val="en-US" w:eastAsia="zh-CN"/>
        </w:rPr>
        <w:t>局</w:t>
      </w:r>
      <w:r>
        <w:rPr>
          <w:rFonts w:hint="eastAsia" w:ascii="仿宋_GB2312" w:hAnsi="仿宋_GB2312" w:eastAsia="仿宋_GB2312" w:cs="仿宋_GB2312"/>
          <w:spacing w:val="0"/>
          <w:sz w:val="32"/>
          <w:szCs w:val="32"/>
        </w:rPr>
        <w:t xml:space="preserve">办公室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14</w:t>
      </w:r>
      <w:r>
        <w:rPr>
          <w:rFonts w:hint="eastAsia" w:ascii="仿宋_GB2312" w:hAnsi="仿宋_GB2312" w:eastAsia="仿宋_GB2312" w:cs="仿宋_GB2312"/>
          <w:spacing w:val="0"/>
          <w:sz w:val="32"/>
          <w:szCs w:val="32"/>
        </w:rPr>
        <w:t>日印</w:t>
      </w:r>
      <w:r>
        <w:rPr>
          <w:rFonts w:hint="eastAsia" w:ascii="仿宋_GB2312" w:hAnsi="仿宋_GB2312" w:eastAsia="仿宋_GB2312" w:cs="仿宋_GB2312"/>
          <w:spacing w:val="0"/>
          <w:sz w:val="32"/>
          <w:szCs w:val="32"/>
          <w:lang w:eastAsia="zh-CN"/>
        </w:rPr>
        <w:t>发</w:t>
      </w:r>
    </w:p>
    <w:sectPr>
      <w:footerReference r:id="rId8" w:type="default"/>
      <w:pgSz w:w="11906" w:h="16838"/>
      <w:pgMar w:top="1440" w:right="1474" w:bottom="1440" w:left="1587" w:header="851" w:footer="992" w:gutter="0"/>
      <w:pgNumType w:fmt="decimal"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TZiYmU5NDNiNGE0Y2EyZDRmMWY0OTBmNjFhODAifQ=="/>
  </w:docVars>
  <w:rsids>
    <w:rsidRoot w:val="00000000"/>
    <w:rsid w:val="17FE5C70"/>
    <w:rsid w:val="2FFE4921"/>
    <w:rsid w:val="38EC24C4"/>
    <w:rsid w:val="3DBF3BE9"/>
    <w:rsid w:val="3DCFAA1D"/>
    <w:rsid w:val="45F9D2B7"/>
    <w:rsid w:val="4FE0045D"/>
    <w:rsid w:val="6DFFAB1B"/>
    <w:rsid w:val="6FFF9279"/>
    <w:rsid w:val="769DB9B1"/>
    <w:rsid w:val="7C7D6E6D"/>
    <w:rsid w:val="7EBF70E5"/>
    <w:rsid w:val="7EEECCF2"/>
    <w:rsid w:val="7FFB833A"/>
    <w:rsid w:val="BAA52D63"/>
    <w:rsid w:val="BFEE6DE1"/>
    <w:rsid w:val="D9FAB047"/>
    <w:rsid w:val="DDF776FF"/>
    <w:rsid w:val="DF67EE74"/>
    <w:rsid w:val="DFBDBB79"/>
    <w:rsid w:val="EBBD2094"/>
    <w:rsid w:val="EFEF7B14"/>
    <w:rsid w:val="F3BBF2F1"/>
    <w:rsid w:val="F75F2F1F"/>
    <w:rsid w:val="FFB7F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index 5"/>
    <w:basedOn w:val="1"/>
    <w:next w:val="1"/>
    <w:unhideWhenUsed/>
    <w:qFormat/>
    <w:uiPriority w:val="99"/>
    <w:pPr>
      <w:spacing w:before="100" w:beforeAutospacing="1" w:after="100" w:afterAutospacing="1"/>
      <w:ind w:left="800" w:leftChars="800"/>
    </w:pPr>
  </w:style>
  <w:style w:type="paragraph" w:styleId="4">
    <w:name w:val="Body Text"/>
    <w:basedOn w:val="1"/>
    <w:next w:val="5"/>
    <w:qFormat/>
    <w:uiPriority w:val="0"/>
    <w:pPr>
      <w:spacing w:after="120" w:afterLines="0" w:afterAutospacing="0"/>
    </w:pPr>
  </w:style>
  <w:style w:type="paragraph" w:styleId="5">
    <w:name w:val="toc 5"/>
    <w:basedOn w:val="1"/>
    <w:next w:val="1"/>
    <w:qFormat/>
    <w:uiPriority w:val="0"/>
    <w:pPr>
      <w:ind w:left="1680" w:leftChars="800"/>
    </w:pPr>
  </w:style>
  <w:style w:type="paragraph" w:styleId="6">
    <w:name w:val="footer"/>
    <w:basedOn w:val="1"/>
    <w:next w:val="3"/>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Words>
  <Characters>202</Characters>
  <Lines>0</Lines>
  <Paragraphs>0</Paragraphs>
  <TotalTime>14</TotalTime>
  <ScaleCrop>false</ScaleCrop>
  <LinksUpToDate>false</LinksUpToDate>
  <CharactersWithSpaces>275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2024-09-16T17:01:00Z</dcterms:created>
  <dc:creator>Administrator</dc:creator>
  <cp:lastModifiedBy>kylin</cp:lastModifiedBy>
  <cp:lastPrinted>2024-09-30T10:22:00Z</cp:lastPrinted>
  <dcterms:modified xsi:type="dcterms:W3CDTF">2025-07-10T11:42:06Z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D39504111F1F40A684F87C085B69BB90_12</vt:lpwstr>
  </property>
</Properties>
</file>