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7D" w:rsidRDefault="007A4AFA">
      <w:pPr>
        <w:pStyle w:val="Default"/>
        <w:jc w:val="both"/>
        <w:rPr>
          <w:sz w:val="32"/>
          <w:szCs w:val="32"/>
          <w:shd w:val="clear" w:color="auto" w:fill="FFFFFF" w:themeFill="background1"/>
        </w:rPr>
      </w:pPr>
      <w:r>
        <w:rPr>
          <w:rFonts w:hint="eastAsia"/>
          <w:sz w:val="32"/>
          <w:szCs w:val="32"/>
          <w:shd w:val="clear" w:color="auto" w:fill="FFFFFF" w:themeFill="background1"/>
        </w:rPr>
        <w:t>附件：</w:t>
      </w:r>
    </w:p>
    <w:p w:rsidR="0057447D" w:rsidRDefault="0057447D">
      <w:pPr>
        <w:pStyle w:val="Default"/>
        <w:jc w:val="center"/>
        <w:rPr>
          <w:sz w:val="56"/>
          <w:szCs w:val="56"/>
          <w:shd w:val="clear" w:color="auto" w:fill="FFFFFF" w:themeFill="background1"/>
        </w:rPr>
      </w:pPr>
    </w:p>
    <w:p w:rsidR="0057447D" w:rsidRDefault="0057447D">
      <w:pPr>
        <w:pStyle w:val="Default"/>
        <w:jc w:val="center"/>
        <w:rPr>
          <w:sz w:val="84"/>
          <w:szCs w:val="84"/>
          <w:shd w:val="clear" w:color="auto" w:fill="FFFFFF" w:themeFill="background1"/>
        </w:rPr>
      </w:pPr>
    </w:p>
    <w:p w:rsidR="0057447D" w:rsidRDefault="0057447D">
      <w:pPr>
        <w:pStyle w:val="Default"/>
        <w:jc w:val="center"/>
        <w:rPr>
          <w:sz w:val="84"/>
          <w:szCs w:val="84"/>
          <w:shd w:val="clear" w:color="auto" w:fill="FFFFFF" w:themeFill="background1"/>
        </w:rPr>
      </w:pPr>
    </w:p>
    <w:p w:rsidR="0057447D" w:rsidRDefault="007A4AFA">
      <w:pPr>
        <w:pStyle w:val="Default"/>
        <w:jc w:val="center"/>
        <w:rPr>
          <w:sz w:val="84"/>
          <w:szCs w:val="84"/>
          <w:shd w:val="clear" w:color="auto" w:fill="FFFFFF" w:themeFill="background1"/>
        </w:rPr>
      </w:pPr>
      <w:r>
        <w:rPr>
          <w:rFonts w:hint="eastAsia"/>
          <w:sz w:val="84"/>
          <w:szCs w:val="84"/>
          <w:shd w:val="clear" w:color="auto" w:fill="FFFFFF" w:themeFill="background1"/>
        </w:rPr>
        <w:t>2020年度</w:t>
      </w:r>
    </w:p>
    <w:p w:rsidR="0057447D" w:rsidRDefault="007A4AFA">
      <w:pPr>
        <w:pStyle w:val="Default"/>
        <w:jc w:val="center"/>
        <w:rPr>
          <w:sz w:val="56"/>
          <w:szCs w:val="56"/>
          <w:shd w:val="clear" w:color="auto" w:fill="FFFFFF" w:themeFill="background1"/>
        </w:rPr>
      </w:pPr>
      <w:r>
        <w:rPr>
          <w:rFonts w:hint="eastAsia"/>
          <w:sz w:val="84"/>
          <w:szCs w:val="84"/>
          <w:shd w:val="clear" w:color="auto" w:fill="FFFFFF" w:themeFill="background1"/>
        </w:rPr>
        <w:t>州医保部门决算公开</w:t>
      </w:r>
    </w:p>
    <w:p w:rsidR="0057447D" w:rsidRDefault="0057447D">
      <w:pPr>
        <w:pStyle w:val="Default"/>
        <w:jc w:val="center"/>
        <w:rPr>
          <w:sz w:val="56"/>
          <w:szCs w:val="56"/>
          <w:shd w:val="clear" w:color="auto" w:fill="FFFFFF" w:themeFill="background1"/>
        </w:rPr>
      </w:pPr>
    </w:p>
    <w:p w:rsidR="0057447D" w:rsidRDefault="0057447D">
      <w:pPr>
        <w:pStyle w:val="Default"/>
        <w:jc w:val="center"/>
        <w:rPr>
          <w:sz w:val="56"/>
          <w:szCs w:val="56"/>
          <w:shd w:val="clear" w:color="auto" w:fill="FFFFFF" w:themeFill="background1"/>
        </w:rPr>
      </w:pPr>
    </w:p>
    <w:p w:rsidR="0057447D" w:rsidRDefault="0057447D">
      <w:pPr>
        <w:pStyle w:val="Default"/>
        <w:jc w:val="center"/>
        <w:rPr>
          <w:sz w:val="56"/>
          <w:szCs w:val="56"/>
          <w:shd w:val="clear" w:color="auto" w:fill="FFFFFF" w:themeFill="background1"/>
        </w:rPr>
      </w:pPr>
    </w:p>
    <w:p w:rsidR="0057447D" w:rsidRDefault="0057447D">
      <w:pPr>
        <w:pStyle w:val="Default"/>
        <w:jc w:val="center"/>
        <w:rPr>
          <w:sz w:val="32"/>
          <w:szCs w:val="32"/>
          <w:shd w:val="clear" w:color="auto" w:fill="FFFFFF" w:themeFill="background1"/>
        </w:rPr>
      </w:pPr>
    </w:p>
    <w:p w:rsidR="0057447D" w:rsidRDefault="0057447D">
      <w:pPr>
        <w:pStyle w:val="Default"/>
        <w:jc w:val="center"/>
        <w:rPr>
          <w:sz w:val="32"/>
          <w:szCs w:val="32"/>
          <w:shd w:val="clear" w:color="auto" w:fill="FFFFFF" w:themeFill="background1"/>
        </w:rPr>
      </w:pPr>
    </w:p>
    <w:p w:rsidR="0057447D" w:rsidRDefault="0057447D">
      <w:pPr>
        <w:pStyle w:val="Default"/>
        <w:spacing w:line="540" w:lineRule="exact"/>
        <w:jc w:val="center"/>
        <w:rPr>
          <w:sz w:val="56"/>
          <w:szCs w:val="56"/>
          <w:shd w:val="clear" w:color="auto" w:fill="FFFFFF" w:themeFill="background1"/>
        </w:rPr>
      </w:pPr>
    </w:p>
    <w:p w:rsidR="0057447D" w:rsidRDefault="0057447D">
      <w:pPr>
        <w:pStyle w:val="Default"/>
        <w:spacing w:line="500" w:lineRule="exact"/>
        <w:jc w:val="center"/>
        <w:rPr>
          <w:b/>
          <w:sz w:val="36"/>
          <w:szCs w:val="28"/>
          <w:shd w:val="clear" w:color="auto" w:fill="FFFFFF" w:themeFill="background1"/>
        </w:rPr>
      </w:pPr>
    </w:p>
    <w:p w:rsidR="0057447D" w:rsidRDefault="0057447D">
      <w:pPr>
        <w:pStyle w:val="Default"/>
        <w:spacing w:line="500" w:lineRule="exact"/>
        <w:jc w:val="center"/>
        <w:rPr>
          <w:b/>
          <w:sz w:val="36"/>
          <w:szCs w:val="28"/>
          <w:shd w:val="clear" w:color="auto" w:fill="FFFFFF" w:themeFill="background1"/>
        </w:rPr>
      </w:pPr>
    </w:p>
    <w:p w:rsidR="0057447D" w:rsidRDefault="0057447D">
      <w:pPr>
        <w:pStyle w:val="Default"/>
        <w:spacing w:line="500" w:lineRule="exact"/>
        <w:jc w:val="center"/>
        <w:rPr>
          <w:b/>
          <w:sz w:val="36"/>
          <w:szCs w:val="28"/>
          <w:shd w:val="clear" w:color="auto" w:fill="FFFFFF" w:themeFill="background1"/>
        </w:rPr>
      </w:pPr>
    </w:p>
    <w:p w:rsidR="0057447D" w:rsidRDefault="0057447D">
      <w:pPr>
        <w:pStyle w:val="Default"/>
        <w:spacing w:line="500" w:lineRule="exact"/>
        <w:jc w:val="center"/>
        <w:rPr>
          <w:b/>
          <w:sz w:val="36"/>
          <w:szCs w:val="28"/>
          <w:shd w:val="clear" w:color="auto" w:fill="FFFFFF" w:themeFill="background1"/>
        </w:rPr>
      </w:pPr>
    </w:p>
    <w:p w:rsidR="0057447D" w:rsidRDefault="0057447D">
      <w:pPr>
        <w:pStyle w:val="Default"/>
        <w:spacing w:line="500" w:lineRule="exact"/>
        <w:jc w:val="center"/>
        <w:rPr>
          <w:b/>
          <w:sz w:val="36"/>
          <w:szCs w:val="28"/>
          <w:shd w:val="clear" w:color="auto" w:fill="FFFFFF" w:themeFill="background1"/>
        </w:rPr>
      </w:pPr>
    </w:p>
    <w:p w:rsidR="0057447D" w:rsidRDefault="0057447D">
      <w:pPr>
        <w:pStyle w:val="Default"/>
        <w:spacing w:line="500" w:lineRule="exact"/>
        <w:jc w:val="center"/>
        <w:rPr>
          <w:b/>
          <w:sz w:val="36"/>
          <w:szCs w:val="28"/>
          <w:shd w:val="clear" w:color="auto" w:fill="FFFFFF" w:themeFill="background1"/>
        </w:rPr>
      </w:pPr>
    </w:p>
    <w:p w:rsidR="0057447D" w:rsidRDefault="0057447D">
      <w:pPr>
        <w:pStyle w:val="Default"/>
        <w:spacing w:line="500" w:lineRule="exact"/>
        <w:jc w:val="center"/>
        <w:rPr>
          <w:b/>
          <w:sz w:val="36"/>
          <w:szCs w:val="28"/>
          <w:shd w:val="clear" w:color="auto" w:fill="FFFFFF" w:themeFill="background1"/>
        </w:rPr>
      </w:pPr>
    </w:p>
    <w:p w:rsidR="0057447D" w:rsidRDefault="0057447D">
      <w:pPr>
        <w:pStyle w:val="Default"/>
        <w:spacing w:line="500" w:lineRule="exact"/>
        <w:jc w:val="center"/>
        <w:rPr>
          <w:b/>
          <w:sz w:val="36"/>
          <w:szCs w:val="28"/>
          <w:shd w:val="clear" w:color="auto" w:fill="FFFFFF" w:themeFill="background1"/>
        </w:rPr>
      </w:pPr>
    </w:p>
    <w:p w:rsidR="0057447D" w:rsidRDefault="007A4AFA">
      <w:pPr>
        <w:pStyle w:val="Default"/>
        <w:spacing w:line="500" w:lineRule="exact"/>
        <w:jc w:val="center"/>
        <w:rPr>
          <w:b/>
          <w:sz w:val="36"/>
          <w:szCs w:val="28"/>
          <w:shd w:val="clear" w:color="auto" w:fill="FFFFFF" w:themeFill="background1"/>
        </w:rPr>
      </w:pPr>
      <w:r>
        <w:rPr>
          <w:rFonts w:hint="eastAsia"/>
          <w:b/>
          <w:sz w:val="36"/>
          <w:szCs w:val="28"/>
          <w:shd w:val="clear" w:color="auto" w:fill="FFFFFF" w:themeFill="background1"/>
        </w:rPr>
        <w:lastRenderedPageBreak/>
        <w:t>目录</w:t>
      </w:r>
    </w:p>
    <w:p w:rsidR="0057447D" w:rsidRDefault="007A4AFA">
      <w:pPr>
        <w:pStyle w:val="Default"/>
        <w:spacing w:line="500" w:lineRule="exact"/>
        <w:rPr>
          <w:rFonts w:ascii="仿宋_GB2312" w:hAnsi="仿宋_GB2312" w:cs="仿宋_GB2312"/>
          <w:b/>
          <w:sz w:val="28"/>
          <w:szCs w:val="28"/>
          <w:shd w:val="clear" w:color="auto" w:fill="FFFFFF" w:themeFill="background1"/>
        </w:rPr>
      </w:pPr>
      <w:r>
        <w:rPr>
          <w:rFonts w:hint="eastAsia"/>
          <w:b/>
          <w:sz w:val="28"/>
          <w:szCs w:val="28"/>
          <w:shd w:val="clear" w:color="auto" w:fill="FFFFFF" w:themeFill="background1"/>
        </w:rPr>
        <w:t>第一部分州医保部门概况</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sz w:val="28"/>
          <w:szCs w:val="28"/>
          <w:shd w:val="clear" w:color="auto" w:fill="FFFFFF" w:themeFill="background1"/>
        </w:rPr>
        <w:t>一、部门职责</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sz w:val="28"/>
          <w:szCs w:val="28"/>
          <w:shd w:val="clear" w:color="auto" w:fill="FFFFFF" w:themeFill="background1"/>
        </w:rPr>
        <w:t>二、机构设置</w:t>
      </w:r>
    </w:p>
    <w:p w:rsidR="0057447D" w:rsidRDefault="007A4AFA">
      <w:pPr>
        <w:pStyle w:val="Default"/>
        <w:spacing w:line="500" w:lineRule="exact"/>
        <w:rPr>
          <w:rFonts w:ascii="仿宋_GB2312" w:hAnsi="仿宋_GB2312" w:cs="仿宋_GB2312"/>
          <w:b/>
          <w:sz w:val="28"/>
          <w:szCs w:val="28"/>
          <w:shd w:val="clear" w:color="auto" w:fill="FFFFFF" w:themeFill="background1"/>
        </w:rPr>
      </w:pPr>
      <w:r>
        <w:rPr>
          <w:rFonts w:hAnsi="仿宋_GB2312" w:hint="eastAsia"/>
          <w:b/>
          <w:sz w:val="28"/>
          <w:szCs w:val="28"/>
          <w:shd w:val="clear" w:color="auto" w:fill="FFFFFF" w:themeFill="background1"/>
        </w:rPr>
        <w:t>第二部分</w:t>
      </w:r>
      <w:r>
        <w:rPr>
          <w:rFonts w:hAnsi="仿宋_GB2312"/>
          <w:b/>
          <w:sz w:val="28"/>
          <w:szCs w:val="28"/>
          <w:shd w:val="clear" w:color="auto" w:fill="FFFFFF" w:themeFill="background1"/>
        </w:rPr>
        <w:t>20</w:t>
      </w:r>
      <w:r>
        <w:rPr>
          <w:rFonts w:hAnsi="仿宋_GB2312" w:hint="eastAsia"/>
          <w:b/>
          <w:sz w:val="28"/>
          <w:szCs w:val="28"/>
          <w:shd w:val="clear" w:color="auto" w:fill="FFFFFF" w:themeFill="background1"/>
        </w:rPr>
        <w:t>20年度部门决算表</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sz w:val="28"/>
          <w:szCs w:val="28"/>
          <w:shd w:val="clear" w:color="auto" w:fill="FFFFFF" w:themeFill="background1"/>
        </w:rPr>
        <w:t>一、收入支出决算总表</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sz w:val="28"/>
          <w:szCs w:val="28"/>
          <w:shd w:val="clear" w:color="auto" w:fill="FFFFFF" w:themeFill="background1"/>
        </w:rPr>
        <w:t>二、收入决算表</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sz w:val="28"/>
          <w:szCs w:val="28"/>
          <w:shd w:val="clear" w:color="auto" w:fill="FFFFFF" w:themeFill="background1"/>
        </w:rPr>
        <w:t>三、支出决算表</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sz w:val="28"/>
          <w:szCs w:val="28"/>
          <w:shd w:val="clear" w:color="auto" w:fill="FFFFFF" w:themeFill="background1"/>
        </w:rPr>
        <w:t>四、财政拨款收入支出决算总表</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sz w:val="28"/>
          <w:szCs w:val="28"/>
          <w:shd w:val="clear" w:color="auto" w:fill="FFFFFF" w:themeFill="background1"/>
        </w:rPr>
        <w:t>五、一般公共预算财政拨款支出决算表</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sz w:val="28"/>
          <w:szCs w:val="28"/>
          <w:shd w:val="clear" w:color="auto" w:fill="FFFFFF" w:themeFill="background1"/>
        </w:rPr>
        <w:t>六、一般公共预算财政拨款基本支出决算表</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sz w:val="28"/>
          <w:szCs w:val="28"/>
          <w:shd w:val="clear" w:color="auto" w:fill="FFFFFF" w:themeFill="background1"/>
        </w:rPr>
        <w:t>七、一般公共预算财政拨款“三公”经费支出决算表</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sz w:val="28"/>
          <w:szCs w:val="28"/>
          <w:shd w:val="clear" w:color="auto" w:fill="FFFFFF" w:themeFill="background1"/>
        </w:rPr>
        <w:t>八、政府性基金预算财政拨款收入支出决算表</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hint="eastAsia"/>
          <w:sz w:val="28"/>
          <w:szCs w:val="28"/>
          <w:shd w:val="clear" w:color="auto" w:fill="FFFFFF" w:themeFill="background1"/>
        </w:rPr>
        <w:t>九、国有资本经营预算财政拨款支出决算表</w:t>
      </w:r>
    </w:p>
    <w:p w:rsidR="0057447D" w:rsidRDefault="007A4AFA">
      <w:pPr>
        <w:pStyle w:val="Default"/>
        <w:spacing w:line="500" w:lineRule="exact"/>
        <w:rPr>
          <w:rFonts w:ascii="仿宋_GB2312" w:hAnsi="仿宋_GB2312" w:cs="仿宋_GB2312"/>
          <w:b/>
          <w:sz w:val="28"/>
          <w:szCs w:val="28"/>
          <w:shd w:val="clear" w:color="auto" w:fill="FFFFFF" w:themeFill="background1"/>
        </w:rPr>
      </w:pPr>
      <w:r>
        <w:rPr>
          <w:rFonts w:hAnsi="仿宋_GB2312" w:hint="eastAsia"/>
          <w:b/>
          <w:sz w:val="28"/>
          <w:szCs w:val="28"/>
          <w:shd w:val="clear" w:color="auto" w:fill="FFFFFF" w:themeFill="background1"/>
        </w:rPr>
        <w:t>第三部分</w:t>
      </w:r>
      <w:r>
        <w:rPr>
          <w:rFonts w:hAnsi="仿宋_GB2312"/>
          <w:b/>
          <w:sz w:val="28"/>
          <w:szCs w:val="28"/>
          <w:shd w:val="clear" w:color="auto" w:fill="FFFFFF" w:themeFill="background1"/>
        </w:rPr>
        <w:t>20</w:t>
      </w:r>
      <w:r>
        <w:rPr>
          <w:rFonts w:hAnsi="仿宋_GB2312" w:hint="eastAsia"/>
          <w:b/>
          <w:sz w:val="28"/>
          <w:szCs w:val="28"/>
          <w:shd w:val="clear" w:color="auto" w:fill="FFFFFF" w:themeFill="background1"/>
        </w:rPr>
        <w:t>20年度部门决算情况说明</w:t>
      </w:r>
    </w:p>
    <w:p w:rsidR="0057447D" w:rsidRDefault="007A4AFA" w:rsidP="00D80294">
      <w:pPr>
        <w:pStyle w:val="Default"/>
        <w:spacing w:line="500" w:lineRule="exact"/>
        <w:ind w:firstLineChars="250" w:firstLine="700"/>
        <w:rPr>
          <w:rFonts w:asciiTheme="minorEastAsia" w:eastAsiaTheme="minorEastAsia" w:hAnsiTheme="minorEastAsia" w:cs="仿宋_GB2312"/>
          <w:sz w:val="28"/>
          <w:szCs w:val="28"/>
          <w:shd w:val="clear" w:color="auto" w:fill="FFFFFF" w:themeFill="background1"/>
        </w:rPr>
      </w:pPr>
      <w:r>
        <w:rPr>
          <w:rFonts w:asciiTheme="minorEastAsia" w:eastAsiaTheme="minorEastAsia" w:hAnsiTheme="minorEastAsia" w:cs="仿宋_GB2312"/>
          <w:sz w:val="28"/>
          <w:szCs w:val="28"/>
          <w:shd w:val="clear" w:color="auto" w:fill="FFFFFF" w:themeFill="background1"/>
        </w:rPr>
        <w:t>一、收入支出决算总体情况说明</w:t>
      </w:r>
    </w:p>
    <w:p w:rsidR="0057447D" w:rsidRDefault="007A4AFA" w:rsidP="00D80294">
      <w:pPr>
        <w:spacing w:line="500" w:lineRule="exact"/>
        <w:ind w:firstLineChars="250" w:firstLine="700"/>
        <w:jc w:val="left"/>
        <w:rPr>
          <w:rFonts w:ascii="仿宋_GB2312" w:hAnsi="仿宋_GB2312" w:cs="仿宋_GB2312"/>
          <w:sz w:val="28"/>
          <w:szCs w:val="28"/>
          <w:shd w:val="clear" w:color="auto" w:fill="FFFFFF" w:themeFill="background1"/>
        </w:rPr>
      </w:pPr>
      <w:r>
        <w:rPr>
          <w:rFonts w:ascii="仿宋_GB2312" w:hAnsi="仿宋_GB2312" w:cs="仿宋_GB2312"/>
          <w:sz w:val="28"/>
          <w:szCs w:val="28"/>
          <w:shd w:val="clear" w:color="auto" w:fill="FFFFFF" w:themeFill="background1"/>
        </w:rPr>
        <w:t>二、收入决算情况说明</w:t>
      </w:r>
    </w:p>
    <w:p w:rsidR="0057447D" w:rsidRDefault="007A4AFA" w:rsidP="00D80294">
      <w:pPr>
        <w:autoSpaceDE w:val="0"/>
        <w:autoSpaceDN w:val="0"/>
        <w:adjustRightInd w:val="0"/>
        <w:spacing w:line="500" w:lineRule="exact"/>
        <w:ind w:firstLineChars="250" w:firstLine="700"/>
        <w:jc w:val="left"/>
        <w:rPr>
          <w:rFonts w:ascii="仿宋_GB2312" w:hAnsi="仿宋_GB2312" w:cs="仿宋_GB2312"/>
          <w:color w:val="000000"/>
          <w:kern w:val="0"/>
          <w:sz w:val="28"/>
          <w:szCs w:val="28"/>
          <w:shd w:val="clear" w:color="auto" w:fill="FFFFFF" w:themeFill="background1"/>
        </w:rPr>
      </w:pPr>
      <w:r>
        <w:rPr>
          <w:rFonts w:ascii="仿宋_GB2312" w:hAnsi="仿宋_GB2312" w:cs="仿宋_GB2312"/>
          <w:color w:val="000000"/>
          <w:kern w:val="0"/>
          <w:sz w:val="28"/>
          <w:szCs w:val="28"/>
          <w:shd w:val="clear" w:color="auto" w:fill="FFFFFF" w:themeFill="background1"/>
        </w:rPr>
        <w:t>三、支出决算情况说明</w:t>
      </w:r>
    </w:p>
    <w:p w:rsidR="0057447D" w:rsidRDefault="007A4AFA" w:rsidP="00D80294">
      <w:pPr>
        <w:autoSpaceDE w:val="0"/>
        <w:autoSpaceDN w:val="0"/>
        <w:adjustRightInd w:val="0"/>
        <w:spacing w:line="500" w:lineRule="exact"/>
        <w:ind w:firstLineChars="250" w:firstLine="700"/>
        <w:jc w:val="left"/>
        <w:rPr>
          <w:rFonts w:ascii="仿宋_GB2312" w:hAnsi="仿宋_GB2312" w:cs="仿宋_GB2312"/>
          <w:color w:val="000000"/>
          <w:kern w:val="0"/>
          <w:sz w:val="28"/>
          <w:szCs w:val="28"/>
          <w:shd w:val="clear" w:color="auto" w:fill="FFFFFF" w:themeFill="background1"/>
        </w:rPr>
      </w:pPr>
      <w:r>
        <w:rPr>
          <w:rFonts w:ascii="仿宋_GB2312" w:hAnsi="仿宋_GB2312" w:cs="仿宋_GB2312"/>
          <w:color w:val="000000"/>
          <w:kern w:val="0"/>
          <w:sz w:val="28"/>
          <w:szCs w:val="28"/>
          <w:shd w:val="clear" w:color="auto" w:fill="FFFFFF" w:themeFill="background1"/>
        </w:rPr>
        <w:t>四、财政拨款收入支出决算总体情况说明</w:t>
      </w:r>
    </w:p>
    <w:p w:rsidR="0057447D" w:rsidRDefault="007A4AFA" w:rsidP="00D80294">
      <w:pPr>
        <w:autoSpaceDE w:val="0"/>
        <w:autoSpaceDN w:val="0"/>
        <w:adjustRightInd w:val="0"/>
        <w:spacing w:line="500" w:lineRule="exact"/>
        <w:ind w:firstLineChars="250" w:firstLine="700"/>
        <w:jc w:val="left"/>
        <w:rPr>
          <w:rFonts w:ascii="仿宋_GB2312" w:hAnsi="仿宋_GB2312" w:cs="仿宋_GB2312"/>
          <w:color w:val="000000"/>
          <w:kern w:val="0"/>
          <w:sz w:val="28"/>
          <w:szCs w:val="28"/>
          <w:shd w:val="clear" w:color="auto" w:fill="FFFFFF" w:themeFill="background1"/>
        </w:rPr>
      </w:pPr>
      <w:r>
        <w:rPr>
          <w:rFonts w:ascii="仿宋_GB2312" w:hAnsi="仿宋_GB2312" w:cs="仿宋_GB2312"/>
          <w:color w:val="000000"/>
          <w:kern w:val="0"/>
          <w:sz w:val="28"/>
          <w:szCs w:val="28"/>
          <w:shd w:val="clear" w:color="auto" w:fill="FFFFFF" w:themeFill="background1"/>
        </w:rPr>
        <w:t>五、一般公共预算财政拨款支出决算情况说明</w:t>
      </w:r>
    </w:p>
    <w:p w:rsidR="0057447D" w:rsidRDefault="007A4AFA" w:rsidP="00D80294">
      <w:pPr>
        <w:autoSpaceDE w:val="0"/>
        <w:autoSpaceDN w:val="0"/>
        <w:adjustRightInd w:val="0"/>
        <w:spacing w:line="500" w:lineRule="exact"/>
        <w:ind w:firstLineChars="250" w:firstLine="700"/>
        <w:jc w:val="left"/>
        <w:rPr>
          <w:rFonts w:ascii="仿宋_GB2312" w:hAnsi="仿宋_GB2312" w:cs="仿宋_GB2312"/>
          <w:color w:val="000000"/>
          <w:kern w:val="0"/>
          <w:sz w:val="28"/>
          <w:szCs w:val="28"/>
          <w:shd w:val="clear" w:color="auto" w:fill="FFFFFF" w:themeFill="background1"/>
        </w:rPr>
      </w:pPr>
      <w:r>
        <w:rPr>
          <w:rFonts w:ascii="仿宋_GB2312" w:hAnsi="仿宋_GB2312" w:cs="仿宋_GB2312"/>
          <w:color w:val="000000"/>
          <w:kern w:val="0"/>
          <w:sz w:val="28"/>
          <w:szCs w:val="28"/>
          <w:shd w:val="clear" w:color="auto" w:fill="FFFFFF" w:themeFill="background1"/>
        </w:rPr>
        <w:t>六、一般公共预算财政拨款基本支出决算情况说明</w:t>
      </w:r>
    </w:p>
    <w:p w:rsidR="0057447D" w:rsidRDefault="007A4AFA" w:rsidP="00D80294">
      <w:pPr>
        <w:autoSpaceDE w:val="0"/>
        <w:autoSpaceDN w:val="0"/>
        <w:adjustRightInd w:val="0"/>
        <w:spacing w:line="500" w:lineRule="exact"/>
        <w:ind w:firstLineChars="250" w:firstLine="700"/>
        <w:jc w:val="left"/>
        <w:rPr>
          <w:rFonts w:ascii="仿宋_GB2312" w:hAnsi="仿宋_GB2312" w:cs="仿宋_GB2312"/>
          <w:color w:val="000000"/>
          <w:kern w:val="0"/>
          <w:sz w:val="28"/>
          <w:szCs w:val="28"/>
          <w:shd w:val="clear" w:color="auto" w:fill="FFFFFF" w:themeFill="background1"/>
        </w:rPr>
      </w:pPr>
      <w:r>
        <w:rPr>
          <w:rFonts w:ascii="仿宋_GB2312" w:hAnsi="仿宋_GB2312" w:cs="仿宋_GB2312"/>
          <w:color w:val="000000"/>
          <w:kern w:val="0"/>
          <w:sz w:val="28"/>
          <w:szCs w:val="28"/>
          <w:shd w:val="clear" w:color="auto" w:fill="FFFFFF" w:themeFill="background1"/>
        </w:rPr>
        <w:t>七、一般公共预算财政拨款三公经费支出决算情况说明</w:t>
      </w:r>
    </w:p>
    <w:p w:rsidR="0057447D" w:rsidRDefault="007A4AFA" w:rsidP="00D80294">
      <w:pPr>
        <w:autoSpaceDE w:val="0"/>
        <w:autoSpaceDN w:val="0"/>
        <w:adjustRightInd w:val="0"/>
        <w:spacing w:line="500" w:lineRule="exact"/>
        <w:ind w:firstLineChars="250" w:firstLine="700"/>
        <w:jc w:val="left"/>
        <w:rPr>
          <w:rFonts w:ascii="仿宋_GB2312" w:hAnsi="仿宋_GB2312" w:cs="仿宋_GB2312"/>
          <w:color w:val="000000"/>
          <w:kern w:val="0"/>
          <w:sz w:val="28"/>
          <w:szCs w:val="28"/>
          <w:shd w:val="clear" w:color="auto" w:fill="FFFFFF" w:themeFill="background1"/>
        </w:rPr>
      </w:pPr>
      <w:r>
        <w:rPr>
          <w:rFonts w:ascii="仿宋_GB2312" w:hAnsi="仿宋_GB2312" w:cs="仿宋_GB2312" w:hint="eastAsia"/>
          <w:color w:val="000000"/>
          <w:kern w:val="0"/>
          <w:sz w:val="28"/>
          <w:szCs w:val="28"/>
          <w:shd w:val="clear" w:color="auto" w:fill="FFFFFF" w:themeFill="background1"/>
        </w:rPr>
        <w:t>八</w:t>
      </w:r>
      <w:r>
        <w:rPr>
          <w:rFonts w:ascii="仿宋_GB2312" w:hAnsi="仿宋_GB2312" w:cs="仿宋_GB2312"/>
          <w:color w:val="000000"/>
          <w:kern w:val="0"/>
          <w:sz w:val="28"/>
          <w:szCs w:val="28"/>
          <w:shd w:val="clear" w:color="auto" w:fill="FFFFFF" w:themeFill="background1"/>
        </w:rPr>
        <w:t>、</w:t>
      </w:r>
      <w:r>
        <w:rPr>
          <w:rFonts w:ascii="仿宋_GB2312" w:hAnsi="仿宋_GB2312" w:cs="仿宋_GB2312" w:hint="eastAsia"/>
          <w:color w:val="000000"/>
          <w:kern w:val="0"/>
          <w:sz w:val="28"/>
          <w:szCs w:val="28"/>
          <w:shd w:val="clear" w:color="auto" w:fill="FFFFFF" w:themeFill="background1"/>
        </w:rPr>
        <w:t>政府性基金预算收入支出决算情况</w:t>
      </w:r>
    </w:p>
    <w:p w:rsidR="0057447D" w:rsidRDefault="007A4AFA" w:rsidP="00D80294">
      <w:pPr>
        <w:autoSpaceDE w:val="0"/>
        <w:autoSpaceDN w:val="0"/>
        <w:adjustRightInd w:val="0"/>
        <w:spacing w:line="500" w:lineRule="exact"/>
        <w:ind w:firstLineChars="250" w:firstLine="700"/>
        <w:jc w:val="left"/>
        <w:rPr>
          <w:rFonts w:ascii="仿宋_GB2312" w:hAnsi="仿宋_GB2312" w:cs="仿宋_GB2312"/>
          <w:color w:val="000000"/>
          <w:kern w:val="0"/>
          <w:sz w:val="28"/>
          <w:szCs w:val="28"/>
          <w:shd w:val="clear" w:color="auto" w:fill="FFFFFF" w:themeFill="background1"/>
        </w:rPr>
      </w:pPr>
      <w:r>
        <w:rPr>
          <w:rFonts w:ascii="仿宋_GB2312" w:hAnsi="仿宋_GB2312" w:cs="仿宋_GB2312" w:hint="eastAsia"/>
          <w:color w:val="000000"/>
          <w:kern w:val="0"/>
          <w:sz w:val="28"/>
          <w:szCs w:val="28"/>
          <w:shd w:val="clear" w:color="auto" w:fill="FFFFFF" w:themeFill="background1"/>
        </w:rPr>
        <w:t>九、</w:t>
      </w:r>
      <w:r>
        <w:rPr>
          <w:rFonts w:asciiTheme="minorEastAsia" w:hAnsiTheme="minorEastAsia" w:cs="仿宋_GB2312" w:hint="eastAsia"/>
          <w:sz w:val="28"/>
          <w:szCs w:val="28"/>
          <w:shd w:val="clear" w:color="auto" w:fill="FFFFFF" w:themeFill="background1"/>
        </w:rPr>
        <w:t>国有资本经营预算支出决算情况</w:t>
      </w:r>
    </w:p>
    <w:p w:rsidR="0057447D" w:rsidRDefault="007A4AFA" w:rsidP="00D80294">
      <w:pPr>
        <w:autoSpaceDE w:val="0"/>
        <w:autoSpaceDN w:val="0"/>
        <w:adjustRightInd w:val="0"/>
        <w:spacing w:line="500" w:lineRule="exact"/>
        <w:ind w:firstLineChars="250" w:firstLine="700"/>
        <w:jc w:val="left"/>
        <w:rPr>
          <w:rFonts w:ascii="仿宋_GB2312" w:hAnsi="仿宋_GB2312" w:cs="仿宋_GB2312"/>
          <w:sz w:val="28"/>
          <w:szCs w:val="28"/>
          <w:shd w:val="clear" w:color="auto" w:fill="FFFFFF" w:themeFill="background1"/>
        </w:rPr>
      </w:pPr>
      <w:r>
        <w:rPr>
          <w:rFonts w:ascii="仿宋_GB2312" w:hAnsi="仿宋_GB2312" w:cs="仿宋_GB2312" w:hint="eastAsia"/>
          <w:color w:val="000000"/>
          <w:kern w:val="0"/>
          <w:sz w:val="28"/>
          <w:szCs w:val="28"/>
          <w:shd w:val="clear" w:color="auto" w:fill="FFFFFF" w:themeFill="background1"/>
        </w:rPr>
        <w:t>十</w:t>
      </w:r>
      <w:r>
        <w:rPr>
          <w:rFonts w:ascii="仿宋_GB2312" w:hAnsi="仿宋_GB2312" w:cs="仿宋_GB2312"/>
          <w:color w:val="000000"/>
          <w:kern w:val="0"/>
          <w:sz w:val="28"/>
          <w:szCs w:val="28"/>
          <w:shd w:val="clear" w:color="auto" w:fill="FFFFFF" w:themeFill="background1"/>
        </w:rPr>
        <w:t>、</w:t>
      </w:r>
      <w:r>
        <w:rPr>
          <w:rFonts w:ascii="仿宋_GB2312" w:hAnsi="仿宋_GB2312" w:cs="仿宋_GB2312" w:hint="eastAsia"/>
          <w:sz w:val="28"/>
          <w:szCs w:val="28"/>
          <w:shd w:val="clear" w:color="auto" w:fill="FFFFFF" w:themeFill="background1"/>
        </w:rPr>
        <w:t>关</w:t>
      </w:r>
      <w:r>
        <w:rPr>
          <w:rFonts w:asciiTheme="minorEastAsia" w:hAnsiTheme="minorEastAsia" w:cs="仿宋_GB2312" w:hint="eastAsia"/>
          <w:sz w:val="28"/>
          <w:szCs w:val="28"/>
          <w:shd w:val="clear" w:color="auto" w:fill="FFFFFF" w:themeFill="background1"/>
        </w:rPr>
        <w:t>于2020年</w:t>
      </w:r>
      <w:r>
        <w:rPr>
          <w:rFonts w:ascii="仿宋_GB2312" w:hAnsi="仿宋_GB2312" w:cs="仿宋_GB2312" w:hint="eastAsia"/>
          <w:sz w:val="28"/>
          <w:szCs w:val="28"/>
          <w:shd w:val="clear" w:color="auto" w:fill="FFFFFF" w:themeFill="background1"/>
        </w:rPr>
        <w:t>度预算绩效情况的说明</w:t>
      </w:r>
    </w:p>
    <w:p w:rsidR="0057447D" w:rsidRDefault="007A4AFA" w:rsidP="00D80294">
      <w:pPr>
        <w:pStyle w:val="Default"/>
        <w:spacing w:line="500" w:lineRule="exact"/>
        <w:ind w:firstLineChars="250" w:firstLine="700"/>
        <w:rPr>
          <w:rFonts w:asciiTheme="minorEastAsia" w:eastAsiaTheme="minorEastAsia" w:hAnsiTheme="minorEastAsia" w:cstheme="minorEastAsia"/>
          <w:sz w:val="28"/>
          <w:szCs w:val="28"/>
          <w:shd w:val="clear" w:color="auto" w:fill="FFFFFF" w:themeFill="background1"/>
        </w:rPr>
      </w:pPr>
      <w:r>
        <w:rPr>
          <w:rFonts w:asciiTheme="minorEastAsia" w:eastAsiaTheme="minorEastAsia" w:hAnsiTheme="minorEastAsia" w:cstheme="minorEastAsia" w:hint="eastAsia"/>
          <w:sz w:val="28"/>
          <w:szCs w:val="28"/>
          <w:shd w:val="clear" w:color="auto" w:fill="FFFFFF" w:themeFill="background1"/>
        </w:rPr>
        <w:t>十一、其他重要事项情况说明</w:t>
      </w:r>
    </w:p>
    <w:p w:rsidR="0057447D" w:rsidRDefault="007A4AFA">
      <w:pPr>
        <w:autoSpaceDE w:val="0"/>
        <w:autoSpaceDN w:val="0"/>
        <w:adjustRightInd w:val="0"/>
        <w:spacing w:line="500" w:lineRule="exact"/>
        <w:jc w:val="left"/>
        <w:rPr>
          <w:rFonts w:ascii="黑体" w:eastAsia="黑体" w:hAnsi="黑体" w:cs="黑体"/>
          <w:b/>
          <w:color w:val="000000"/>
          <w:kern w:val="0"/>
          <w:sz w:val="28"/>
          <w:szCs w:val="28"/>
          <w:shd w:val="clear" w:color="auto" w:fill="FFFFFF" w:themeFill="background1"/>
        </w:rPr>
      </w:pPr>
      <w:r>
        <w:rPr>
          <w:rFonts w:ascii="黑体" w:eastAsia="黑体" w:hAnsi="黑体" w:cs="黑体"/>
          <w:b/>
          <w:color w:val="000000"/>
          <w:kern w:val="0"/>
          <w:sz w:val="28"/>
          <w:szCs w:val="28"/>
          <w:shd w:val="clear" w:color="auto" w:fill="FFFFFF" w:themeFill="background1"/>
        </w:rPr>
        <w:t>第四部分名词解释</w:t>
      </w:r>
    </w:p>
    <w:p w:rsidR="0057447D" w:rsidRDefault="007A4AFA">
      <w:pPr>
        <w:autoSpaceDE w:val="0"/>
        <w:autoSpaceDN w:val="0"/>
        <w:adjustRightInd w:val="0"/>
        <w:spacing w:line="500" w:lineRule="exact"/>
        <w:jc w:val="left"/>
        <w:rPr>
          <w:rFonts w:ascii="黑体" w:eastAsia="黑体" w:hAnsi="黑体" w:cs="仿宋_GB2312"/>
          <w:b/>
          <w:color w:val="000000"/>
          <w:kern w:val="0"/>
          <w:sz w:val="28"/>
          <w:szCs w:val="28"/>
          <w:shd w:val="clear" w:color="auto" w:fill="FFFFFF" w:themeFill="background1"/>
        </w:rPr>
      </w:pPr>
      <w:r>
        <w:rPr>
          <w:rFonts w:ascii="黑体" w:eastAsia="黑体" w:hAnsi="黑体" w:cs="黑体" w:hint="eastAsia"/>
          <w:b/>
          <w:color w:val="000000"/>
          <w:kern w:val="0"/>
          <w:sz w:val="28"/>
          <w:szCs w:val="28"/>
          <w:shd w:val="clear" w:color="auto" w:fill="FFFFFF" w:themeFill="background1"/>
        </w:rPr>
        <w:t>第五部分附件</w:t>
      </w: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rPr>
          <w:sz w:val="72"/>
          <w:szCs w:val="72"/>
          <w:shd w:val="clear" w:color="auto" w:fill="FFFFFF" w:themeFill="background1"/>
        </w:rPr>
      </w:pPr>
    </w:p>
    <w:p w:rsidR="0057447D" w:rsidRDefault="007A4AFA">
      <w:pPr>
        <w:pStyle w:val="Default"/>
        <w:jc w:val="center"/>
        <w:rPr>
          <w:sz w:val="84"/>
          <w:szCs w:val="84"/>
          <w:shd w:val="clear" w:color="auto" w:fill="FFFFFF" w:themeFill="background1"/>
        </w:rPr>
      </w:pPr>
      <w:r>
        <w:rPr>
          <w:rFonts w:hint="eastAsia"/>
          <w:sz w:val="84"/>
          <w:szCs w:val="84"/>
          <w:shd w:val="clear" w:color="auto" w:fill="FFFFFF" w:themeFill="background1"/>
        </w:rPr>
        <w:t>第一部分</w:t>
      </w:r>
    </w:p>
    <w:p w:rsidR="0057447D" w:rsidRDefault="0057447D">
      <w:pPr>
        <w:pStyle w:val="Default"/>
        <w:jc w:val="center"/>
        <w:rPr>
          <w:sz w:val="84"/>
          <w:szCs w:val="84"/>
          <w:shd w:val="clear" w:color="auto" w:fill="FFFFFF" w:themeFill="background1"/>
        </w:rPr>
      </w:pPr>
    </w:p>
    <w:p w:rsidR="0057447D" w:rsidRDefault="007A4AFA">
      <w:pPr>
        <w:pStyle w:val="Default"/>
        <w:jc w:val="center"/>
        <w:rPr>
          <w:sz w:val="84"/>
          <w:szCs w:val="84"/>
          <w:shd w:val="clear" w:color="auto" w:fill="FFFFFF" w:themeFill="background1"/>
        </w:rPr>
      </w:pPr>
      <w:r>
        <w:rPr>
          <w:rFonts w:hint="eastAsia"/>
          <w:sz w:val="84"/>
          <w:szCs w:val="84"/>
          <w:shd w:val="clear" w:color="auto" w:fill="FFFFFF" w:themeFill="background1"/>
        </w:rPr>
        <w:t>州医保部门概况</w:t>
      </w: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pStyle w:val="a9"/>
        <w:ind w:left="720" w:firstLineChars="0" w:firstLine="0"/>
        <w:jc w:val="left"/>
        <w:rPr>
          <w:rFonts w:ascii="黑体" w:eastAsia="黑体" w:hAnsi="黑体"/>
          <w:sz w:val="32"/>
          <w:szCs w:val="32"/>
          <w:shd w:val="clear" w:color="auto" w:fill="FFFFFF" w:themeFill="background1"/>
        </w:rPr>
      </w:pPr>
    </w:p>
    <w:p w:rsidR="0057447D" w:rsidRDefault="0057447D">
      <w:pPr>
        <w:jc w:val="left"/>
        <w:rPr>
          <w:rFonts w:ascii="仿宋_GB2312" w:eastAsia="仿宋_GB2312" w:hAnsiTheme="minorEastAsia"/>
          <w:sz w:val="28"/>
          <w:szCs w:val="32"/>
          <w:shd w:val="clear" w:color="auto" w:fill="FFFFFF" w:themeFill="background1"/>
        </w:rPr>
      </w:pPr>
    </w:p>
    <w:p w:rsidR="0057447D" w:rsidRDefault="0057447D">
      <w:pPr>
        <w:jc w:val="center"/>
        <w:rPr>
          <w:rFonts w:ascii="黑体" w:eastAsia="黑体" w:hAnsi="黑体"/>
          <w:sz w:val="28"/>
          <w:szCs w:val="28"/>
          <w:shd w:val="clear" w:color="auto" w:fill="FFFFFF" w:themeFill="background1"/>
        </w:rPr>
      </w:pPr>
    </w:p>
    <w:p w:rsidR="0057447D" w:rsidRDefault="0057447D">
      <w:pPr>
        <w:jc w:val="center"/>
        <w:rPr>
          <w:rFonts w:ascii="黑体" w:eastAsia="黑体" w:hAnsi="黑体"/>
          <w:sz w:val="28"/>
          <w:szCs w:val="28"/>
          <w:shd w:val="clear" w:color="auto" w:fill="FFFFFF" w:themeFill="background1"/>
        </w:rPr>
      </w:pPr>
    </w:p>
    <w:p w:rsidR="0057447D" w:rsidRDefault="0057447D">
      <w:pPr>
        <w:jc w:val="center"/>
        <w:rPr>
          <w:rFonts w:ascii="黑体" w:eastAsia="黑体" w:hAnsi="黑体"/>
          <w:sz w:val="28"/>
          <w:szCs w:val="28"/>
          <w:shd w:val="clear" w:color="auto" w:fill="FFFFFF" w:themeFill="background1"/>
        </w:rPr>
      </w:pPr>
    </w:p>
    <w:p w:rsidR="0057447D" w:rsidRDefault="007A4AFA">
      <w:pPr>
        <w:pStyle w:val="a9"/>
        <w:widowControl/>
        <w:numPr>
          <w:ilvl w:val="0"/>
          <w:numId w:val="1"/>
        </w:numPr>
        <w:shd w:val="clear" w:color="auto" w:fill="FFFFFF"/>
        <w:spacing w:line="600" w:lineRule="atLeast"/>
        <w:ind w:firstLineChars="0"/>
        <w:jc w:val="left"/>
        <w:textAlignment w:val="center"/>
        <w:rPr>
          <w:rFonts w:ascii="仿宋_GB2312" w:eastAsia="仿宋_GB2312" w:hAnsi="宋体" w:cs="宋体"/>
          <w:b/>
          <w:bCs/>
          <w:kern w:val="0"/>
          <w:sz w:val="32"/>
          <w:shd w:val="clear" w:color="auto" w:fill="FFFFFF" w:themeFill="background1"/>
        </w:rPr>
      </w:pPr>
      <w:r>
        <w:rPr>
          <w:rFonts w:ascii="仿宋_GB2312" w:eastAsia="仿宋_GB2312" w:hAnsi="宋体" w:cs="宋体" w:hint="eastAsia"/>
          <w:b/>
          <w:bCs/>
          <w:kern w:val="0"/>
          <w:sz w:val="32"/>
          <w:shd w:val="clear" w:color="auto" w:fill="FFFFFF" w:themeFill="background1"/>
        </w:rPr>
        <w:lastRenderedPageBreak/>
        <w:t>部门职责</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hint="eastAsia"/>
          <w:sz w:val="32"/>
          <w:szCs w:val="32"/>
          <w:shd w:val="clear" w:color="auto" w:fill="FFFFFF" w:themeFill="background1"/>
        </w:rPr>
        <w:t>湘西土家族苗族自治州医疗保障局（以下简称州医保局）是州政府工作部门，为正处级。单位住所在湘西州经开区州府西路9号，社会统一信用代码为11433100MB1756803K。根据《中共湖南省委办公厅湖南省人民政府办公厅关于印发&lt;湘西土家族苗族自治州机构改革方案&gt;的通知》（湘办〔2018〕67号），制定本规定。州医保局贯彻落实党中央关于医疗保障工作的方针政策和决策部署，全面落实省委、州委关于医疗保障工作的部署要求，在履行职责过程中坚持和加强党对医疗保障工作的集中统一领导。主要职责是：</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t>（一）拟订</w:t>
      </w:r>
      <w:r>
        <w:rPr>
          <w:rFonts w:ascii="仿宋" w:eastAsia="仿宋" w:hAnsi="仿宋" w:hint="eastAsia"/>
          <w:sz w:val="32"/>
          <w:szCs w:val="32"/>
          <w:shd w:val="clear" w:color="auto" w:fill="FFFFFF" w:themeFill="background1"/>
        </w:rPr>
        <w:t>全州</w:t>
      </w:r>
      <w:r>
        <w:rPr>
          <w:rFonts w:ascii="仿宋" w:eastAsia="仿宋" w:hAnsi="仿宋"/>
          <w:sz w:val="32"/>
          <w:szCs w:val="32"/>
          <w:shd w:val="clear" w:color="auto" w:fill="FFFFFF" w:themeFill="background1"/>
        </w:rPr>
        <w:t>医疗保险、生育保险、医疗救助等医疗保障制度的</w:t>
      </w:r>
      <w:r>
        <w:rPr>
          <w:rFonts w:ascii="仿宋" w:eastAsia="仿宋" w:hAnsi="仿宋" w:hint="eastAsia"/>
          <w:sz w:val="32"/>
          <w:szCs w:val="32"/>
          <w:shd w:val="clear" w:color="auto" w:fill="FFFFFF" w:themeFill="background1"/>
        </w:rPr>
        <w:t>地方性法规</w:t>
      </w:r>
      <w:r>
        <w:rPr>
          <w:rFonts w:ascii="仿宋" w:eastAsia="仿宋" w:hAnsi="仿宋"/>
          <w:sz w:val="32"/>
          <w:szCs w:val="32"/>
          <w:shd w:val="clear" w:color="auto" w:fill="FFFFFF" w:themeFill="background1"/>
        </w:rPr>
        <w:t>草案</w:t>
      </w:r>
      <w:r>
        <w:rPr>
          <w:rFonts w:ascii="仿宋" w:eastAsia="仿宋" w:hAnsi="仿宋" w:hint="eastAsia"/>
          <w:sz w:val="32"/>
          <w:szCs w:val="32"/>
          <w:shd w:val="clear" w:color="auto" w:fill="FFFFFF" w:themeFill="background1"/>
        </w:rPr>
        <w:t>、政策、规划和标准，并组织实施。</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t>（二）</w:t>
      </w:r>
      <w:r>
        <w:rPr>
          <w:rFonts w:ascii="仿宋" w:eastAsia="仿宋" w:hAnsi="仿宋" w:hint="eastAsia"/>
          <w:sz w:val="32"/>
          <w:szCs w:val="32"/>
          <w:shd w:val="clear" w:color="auto" w:fill="FFFFFF" w:themeFill="background1"/>
        </w:rPr>
        <w:t>贯彻落实上级医疗保障部门制定的医疗保障基金监督管理办法，监督管理相关医疗保障基金，</w:t>
      </w:r>
      <w:r>
        <w:rPr>
          <w:rFonts w:ascii="仿宋" w:eastAsia="仿宋" w:hAnsi="仿宋"/>
          <w:sz w:val="32"/>
          <w:szCs w:val="32"/>
          <w:shd w:val="clear" w:color="auto" w:fill="FFFFFF" w:themeFill="background1"/>
        </w:rPr>
        <w:t>建立健全医疗保障基金安全防控机制，推进医疗保障基金支付方式改革。</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t>（三）组织制定</w:t>
      </w:r>
      <w:r>
        <w:rPr>
          <w:rFonts w:ascii="仿宋" w:eastAsia="仿宋" w:hAnsi="仿宋" w:hint="eastAsia"/>
          <w:sz w:val="32"/>
          <w:szCs w:val="32"/>
          <w:shd w:val="clear" w:color="auto" w:fill="FFFFFF" w:themeFill="background1"/>
        </w:rPr>
        <w:t>和实施全州</w:t>
      </w:r>
      <w:r>
        <w:rPr>
          <w:rFonts w:ascii="仿宋" w:eastAsia="仿宋" w:hAnsi="仿宋"/>
          <w:sz w:val="32"/>
          <w:szCs w:val="32"/>
          <w:shd w:val="clear" w:color="auto" w:fill="FFFFFF" w:themeFill="background1"/>
        </w:rPr>
        <w:t>医疗保障筹资和待遇政策，完善动态调整和区域调剂平衡机制，统筹城乡医疗保障待遇标准，建立健全与筹资水平相适应的待遇调整机制</w:t>
      </w:r>
      <w:r>
        <w:rPr>
          <w:rFonts w:ascii="仿宋" w:eastAsia="仿宋" w:hAnsi="仿宋" w:hint="eastAsia"/>
          <w:sz w:val="32"/>
          <w:szCs w:val="32"/>
          <w:shd w:val="clear" w:color="auto" w:fill="FFFFFF" w:themeFill="background1"/>
        </w:rPr>
        <w:t>，组织拟订并</w:t>
      </w:r>
      <w:r>
        <w:rPr>
          <w:rFonts w:ascii="仿宋" w:eastAsia="仿宋" w:hAnsi="仿宋"/>
          <w:sz w:val="32"/>
          <w:szCs w:val="32"/>
          <w:shd w:val="clear" w:color="auto" w:fill="FFFFFF" w:themeFill="background1"/>
        </w:rPr>
        <w:t>实施长期护理保险制度改革方案。</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t>（四）组织制定</w:t>
      </w:r>
      <w:r>
        <w:rPr>
          <w:rFonts w:ascii="仿宋" w:eastAsia="仿宋" w:hAnsi="仿宋" w:hint="eastAsia"/>
          <w:sz w:val="32"/>
          <w:szCs w:val="32"/>
          <w:shd w:val="clear" w:color="auto" w:fill="FFFFFF" w:themeFill="background1"/>
        </w:rPr>
        <w:t>和实施全州</w:t>
      </w:r>
      <w:r>
        <w:rPr>
          <w:rFonts w:ascii="仿宋" w:eastAsia="仿宋" w:hAnsi="仿宋"/>
          <w:sz w:val="32"/>
          <w:szCs w:val="32"/>
          <w:shd w:val="clear" w:color="auto" w:fill="FFFFFF" w:themeFill="background1"/>
        </w:rPr>
        <w:t>城乡统一的药品、医用耗材、医疗服务项目、医疗服务设施等医保目录和支付标准，建立动态调整机制</w:t>
      </w:r>
      <w:r>
        <w:rPr>
          <w:rFonts w:ascii="仿宋" w:eastAsia="仿宋" w:hAnsi="仿宋" w:hint="eastAsia"/>
          <w:sz w:val="32"/>
          <w:szCs w:val="32"/>
          <w:shd w:val="clear" w:color="auto" w:fill="FFFFFF" w:themeFill="background1"/>
        </w:rPr>
        <w:t>，制定医保目录准入谈判规则并组织实施。</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t>（五）组织制定</w:t>
      </w:r>
      <w:r>
        <w:rPr>
          <w:rFonts w:ascii="仿宋" w:eastAsia="仿宋" w:hAnsi="仿宋" w:hint="eastAsia"/>
          <w:sz w:val="32"/>
          <w:szCs w:val="32"/>
          <w:shd w:val="clear" w:color="auto" w:fill="FFFFFF" w:themeFill="background1"/>
        </w:rPr>
        <w:t>全州</w:t>
      </w:r>
      <w:r>
        <w:rPr>
          <w:rFonts w:ascii="仿宋" w:eastAsia="仿宋" w:hAnsi="仿宋"/>
          <w:sz w:val="32"/>
          <w:szCs w:val="32"/>
          <w:shd w:val="clear" w:color="auto" w:fill="FFFFFF" w:themeFill="background1"/>
        </w:rPr>
        <w:t>药品、医用耗材价格和医疗服务项目、医疗服务设施收费等政策，建立医保支付医药服务价格合理确定和动态调整机制，推动建立市场主导的社会医药服务价格形成机制，建立价格信息监测和信息发布制度。</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t>（六）制定</w:t>
      </w:r>
      <w:r>
        <w:rPr>
          <w:rFonts w:ascii="仿宋" w:eastAsia="仿宋" w:hAnsi="仿宋" w:hint="eastAsia"/>
          <w:sz w:val="32"/>
          <w:szCs w:val="32"/>
          <w:shd w:val="clear" w:color="auto" w:fill="FFFFFF" w:themeFill="background1"/>
        </w:rPr>
        <w:t>全州</w:t>
      </w:r>
      <w:r>
        <w:rPr>
          <w:rFonts w:ascii="仿宋" w:eastAsia="仿宋" w:hAnsi="仿宋"/>
          <w:sz w:val="32"/>
          <w:szCs w:val="32"/>
          <w:shd w:val="clear" w:color="auto" w:fill="FFFFFF" w:themeFill="background1"/>
        </w:rPr>
        <w:t>药品、医用耗材的招标采购政策并监督实施，</w:t>
      </w:r>
      <w:r>
        <w:rPr>
          <w:rFonts w:ascii="仿宋" w:eastAsia="仿宋" w:hAnsi="仿宋" w:hint="eastAsia"/>
          <w:sz w:val="32"/>
          <w:szCs w:val="32"/>
          <w:shd w:val="clear" w:color="auto" w:fill="FFFFFF" w:themeFill="background1"/>
        </w:rPr>
        <w:t>负责</w:t>
      </w:r>
      <w:r>
        <w:rPr>
          <w:rFonts w:ascii="仿宋" w:eastAsia="仿宋" w:hAnsi="仿宋"/>
          <w:sz w:val="32"/>
          <w:szCs w:val="32"/>
          <w:shd w:val="clear" w:color="auto" w:fill="FFFFFF" w:themeFill="background1"/>
        </w:rPr>
        <w:t>药品、医用耗材招标采购平台建设。</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lastRenderedPageBreak/>
        <w:t>（七）制定</w:t>
      </w:r>
      <w:r>
        <w:rPr>
          <w:rFonts w:ascii="仿宋" w:eastAsia="仿宋" w:hAnsi="仿宋" w:hint="eastAsia"/>
          <w:sz w:val="32"/>
          <w:szCs w:val="32"/>
          <w:shd w:val="clear" w:color="auto" w:fill="FFFFFF" w:themeFill="background1"/>
        </w:rPr>
        <w:t>全州</w:t>
      </w:r>
      <w:r>
        <w:rPr>
          <w:rFonts w:ascii="仿宋" w:eastAsia="仿宋" w:hAnsi="仿宋"/>
          <w:sz w:val="32"/>
          <w:szCs w:val="32"/>
          <w:shd w:val="clear" w:color="auto" w:fill="FFFFFF" w:themeFill="background1"/>
        </w:rPr>
        <w:t>定点医药机构协议和支付管理办法并组织实施，建立健全医疗保障信用评价体系和信息披露制度，监督管理纳入医保范围内的医疗服务行为和医疗费用，依法查处医疗保障领域违法违规行为。</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t>（八）负责</w:t>
      </w:r>
      <w:r>
        <w:rPr>
          <w:rFonts w:ascii="仿宋" w:eastAsia="仿宋" w:hAnsi="仿宋" w:hint="eastAsia"/>
          <w:sz w:val="32"/>
          <w:szCs w:val="32"/>
          <w:shd w:val="clear" w:color="auto" w:fill="FFFFFF" w:themeFill="background1"/>
        </w:rPr>
        <w:t>全州</w:t>
      </w:r>
      <w:r>
        <w:rPr>
          <w:rFonts w:ascii="仿宋" w:eastAsia="仿宋" w:hAnsi="仿宋"/>
          <w:sz w:val="32"/>
          <w:szCs w:val="32"/>
          <w:shd w:val="clear" w:color="auto" w:fill="FFFFFF" w:themeFill="background1"/>
        </w:rPr>
        <w:t>医疗保障经办管理、公共服务体系和信息化建设。</w:t>
      </w:r>
      <w:r>
        <w:rPr>
          <w:rFonts w:ascii="仿宋" w:eastAsia="仿宋" w:hAnsi="仿宋" w:hint="eastAsia"/>
          <w:sz w:val="32"/>
          <w:szCs w:val="32"/>
          <w:shd w:val="clear" w:color="auto" w:fill="FFFFFF" w:themeFill="background1"/>
        </w:rPr>
        <w:t>指导和监督</w:t>
      </w:r>
      <w:r>
        <w:rPr>
          <w:rFonts w:ascii="仿宋" w:eastAsia="仿宋" w:hAnsi="仿宋"/>
          <w:sz w:val="32"/>
          <w:szCs w:val="32"/>
          <w:shd w:val="clear" w:color="auto" w:fill="FFFFFF" w:themeFill="background1"/>
        </w:rPr>
        <w:t>全州医疗保险、生育保险、医疗救助等医疗保障经办业务工作。组织制定和完善异地就医管理和费用结算政策。建立健全医疗保障关系转移接续制度。开展医疗保障领域</w:t>
      </w:r>
      <w:r>
        <w:rPr>
          <w:rFonts w:ascii="仿宋" w:eastAsia="仿宋" w:hAnsi="仿宋" w:hint="eastAsia"/>
          <w:sz w:val="32"/>
          <w:szCs w:val="32"/>
          <w:shd w:val="clear" w:color="auto" w:fill="FFFFFF" w:themeFill="background1"/>
        </w:rPr>
        <w:t>对外</w:t>
      </w:r>
      <w:r>
        <w:rPr>
          <w:rFonts w:ascii="仿宋" w:eastAsia="仿宋" w:hAnsi="仿宋"/>
          <w:sz w:val="32"/>
          <w:szCs w:val="32"/>
          <w:shd w:val="clear" w:color="auto" w:fill="FFFFFF" w:themeFill="background1"/>
        </w:rPr>
        <w:t>合作交流。</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t>（九）完成</w:t>
      </w:r>
      <w:r>
        <w:rPr>
          <w:rFonts w:ascii="仿宋" w:eastAsia="仿宋" w:hAnsi="仿宋" w:hint="eastAsia"/>
          <w:sz w:val="32"/>
          <w:szCs w:val="32"/>
          <w:shd w:val="clear" w:color="auto" w:fill="FFFFFF" w:themeFill="background1"/>
        </w:rPr>
        <w:t>州委、州政府</w:t>
      </w:r>
      <w:r>
        <w:rPr>
          <w:rFonts w:ascii="仿宋" w:eastAsia="仿宋" w:hAnsi="仿宋"/>
          <w:sz w:val="32"/>
          <w:szCs w:val="32"/>
          <w:shd w:val="clear" w:color="auto" w:fill="FFFFFF" w:themeFill="background1"/>
        </w:rPr>
        <w:t>交办的其他任务。</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t>（</w:t>
      </w:r>
      <w:r>
        <w:rPr>
          <w:rFonts w:ascii="仿宋" w:eastAsia="仿宋" w:hAnsi="仿宋" w:hint="eastAsia"/>
          <w:sz w:val="32"/>
          <w:szCs w:val="32"/>
          <w:shd w:val="clear" w:color="auto" w:fill="FFFFFF" w:themeFill="background1"/>
        </w:rPr>
        <w:t>十）</w:t>
      </w:r>
      <w:r>
        <w:rPr>
          <w:rFonts w:ascii="仿宋" w:eastAsia="仿宋" w:hAnsi="仿宋"/>
          <w:sz w:val="32"/>
          <w:szCs w:val="32"/>
          <w:shd w:val="clear" w:color="auto" w:fill="FFFFFF" w:themeFill="background1"/>
        </w:rPr>
        <w:t>职能转变。</w:t>
      </w:r>
      <w:r>
        <w:rPr>
          <w:rFonts w:ascii="仿宋" w:eastAsia="仿宋" w:hAnsi="仿宋" w:hint="eastAsia"/>
          <w:sz w:val="32"/>
          <w:szCs w:val="32"/>
          <w:shd w:val="clear" w:color="auto" w:fill="FFFFFF" w:themeFill="background1"/>
        </w:rPr>
        <w:t>州医保局</w:t>
      </w:r>
      <w:r>
        <w:rPr>
          <w:rFonts w:ascii="仿宋" w:eastAsia="仿宋" w:hAnsi="仿宋"/>
          <w:sz w:val="32"/>
          <w:szCs w:val="32"/>
          <w:shd w:val="clear" w:color="auto" w:fill="FFFFFF" w:themeFill="background1"/>
        </w:rPr>
        <w:t>应完善统一的城乡居民基本医疗保险制度和大病保险制度，</w:t>
      </w:r>
      <w:r>
        <w:rPr>
          <w:rFonts w:ascii="仿宋" w:eastAsia="仿宋" w:hAnsi="仿宋" w:hint="eastAsia"/>
          <w:sz w:val="32"/>
          <w:szCs w:val="32"/>
          <w:shd w:val="clear" w:color="auto" w:fill="FFFFFF" w:themeFill="background1"/>
        </w:rPr>
        <w:t>巩固完善城乡居民医疗救助制度，</w:t>
      </w:r>
      <w:r>
        <w:rPr>
          <w:rFonts w:ascii="仿宋" w:eastAsia="仿宋" w:hAnsi="仿宋"/>
          <w:sz w:val="32"/>
          <w:szCs w:val="32"/>
          <w:shd w:val="clear" w:color="auto" w:fill="FFFFFF" w:themeFill="background1"/>
        </w:rPr>
        <w:t>建立健全覆盖全民、城乡统筹的多层次医疗保障体系，不断提高医疗保障水平，确保医保资金合理使用、</w:t>
      </w:r>
      <w:r>
        <w:rPr>
          <w:rFonts w:ascii="仿宋" w:eastAsia="仿宋" w:hAnsi="仿宋" w:hint="eastAsia"/>
          <w:sz w:val="32"/>
          <w:szCs w:val="32"/>
          <w:shd w:val="clear" w:color="auto" w:fill="FFFFFF" w:themeFill="background1"/>
        </w:rPr>
        <w:t>安全可控，推进医疗、医保、医药“三医联动”改革，更好保障人</w:t>
      </w:r>
      <w:r>
        <w:rPr>
          <w:rFonts w:ascii="仿宋" w:eastAsia="仿宋" w:hAnsi="仿宋"/>
          <w:sz w:val="32"/>
          <w:szCs w:val="32"/>
          <w:shd w:val="clear" w:color="auto" w:fill="FFFFFF" w:themeFill="background1"/>
        </w:rPr>
        <w:t>民群众就医需求、减轻医药费用负担。</w:t>
      </w:r>
    </w:p>
    <w:p w:rsidR="0057447D" w:rsidRDefault="007A4AFA" w:rsidP="00D80294">
      <w:pPr>
        <w:pStyle w:val="a7"/>
        <w:spacing w:before="0" w:beforeAutospacing="0" w:after="0" w:afterAutospacing="0" w:line="600" w:lineRule="exact"/>
        <w:ind w:firstLineChars="200" w:firstLine="640"/>
        <w:rPr>
          <w:rFonts w:ascii="仿宋" w:eastAsia="仿宋" w:hAnsi="仿宋"/>
          <w:sz w:val="32"/>
          <w:szCs w:val="32"/>
          <w:shd w:val="clear" w:color="auto" w:fill="FFFFFF" w:themeFill="background1"/>
        </w:rPr>
      </w:pPr>
      <w:r>
        <w:rPr>
          <w:rFonts w:ascii="仿宋" w:eastAsia="仿宋" w:hAnsi="仿宋"/>
          <w:sz w:val="32"/>
          <w:szCs w:val="32"/>
          <w:shd w:val="clear" w:color="auto" w:fill="FFFFFF" w:themeFill="background1"/>
        </w:rPr>
        <w:t>（十一）</w:t>
      </w:r>
      <w:r>
        <w:rPr>
          <w:rFonts w:ascii="仿宋" w:eastAsia="仿宋" w:hAnsi="仿宋" w:hint="eastAsia"/>
          <w:sz w:val="32"/>
          <w:szCs w:val="32"/>
          <w:shd w:val="clear" w:color="auto" w:fill="FFFFFF" w:themeFill="background1"/>
        </w:rPr>
        <w:t>与州卫生健康委的有关职责分工。州卫生健康委、州医保局</w:t>
      </w:r>
      <w:r>
        <w:rPr>
          <w:rFonts w:ascii="仿宋" w:eastAsia="仿宋" w:hAnsi="仿宋"/>
          <w:sz w:val="32"/>
          <w:szCs w:val="32"/>
          <w:shd w:val="clear" w:color="auto" w:fill="FFFFFF" w:themeFill="background1"/>
        </w:rPr>
        <w:t>等部门在医疗、医保、医药等方面加强制度、政策衔接，建立沟通协商机制，协同推进改革，提高医疗资源使用效率和医疗保障水平。</w:t>
      </w:r>
    </w:p>
    <w:p w:rsidR="0057447D" w:rsidRDefault="007A4AFA" w:rsidP="00D80294">
      <w:pPr>
        <w:pStyle w:val="a7"/>
        <w:spacing w:before="0" w:beforeAutospacing="0" w:after="0" w:afterAutospacing="0" w:line="600" w:lineRule="exact"/>
        <w:ind w:firstLineChars="200" w:firstLine="640"/>
        <w:jc w:val="both"/>
        <w:rPr>
          <w:rFonts w:ascii="仿宋" w:eastAsia="仿宋" w:hAnsi="仿宋"/>
          <w:sz w:val="32"/>
          <w:szCs w:val="32"/>
          <w:shd w:val="clear" w:color="auto" w:fill="FFFFFF" w:themeFill="background1"/>
        </w:rPr>
      </w:pPr>
      <w:r>
        <w:rPr>
          <w:rFonts w:ascii="仿宋" w:eastAsia="仿宋" w:hAnsi="仿宋" w:hint="eastAsia"/>
          <w:sz w:val="32"/>
          <w:szCs w:val="32"/>
          <w:shd w:val="clear" w:color="auto" w:fill="FFFFFF" w:themeFill="background1"/>
        </w:rPr>
        <w:t>州医保局</w:t>
      </w:r>
      <w:r>
        <w:rPr>
          <w:rFonts w:ascii="仿宋" w:eastAsia="仿宋" w:hAnsi="仿宋"/>
          <w:sz w:val="32"/>
          <w:szCs w:val="32"/>
          <w:shd w:val="clear" w:color="auto" w:fill="FFFFFF" w:themeFill="background1"/>
        </w:rPr>
        <w:t>设下列内设机构：</w:t>
      </w:r>
      <w:r>
        <w:rPr>
          <w:rFonts w:ascii="仿宋" w:eastAsia="仿宋" w:hAnsi="仿宋" w:hint="eastAsia"/>
          <w:sz w:val="32"/>
          <w:szCs w:val="32"/>
          <w:shd w:val="clear" w:color="auto" w:fill="FFFFFF" w:themeFill="background1"/>
        </w:rPr>
        <w:t>综合科、</w:t>
      </w:r>
      <w:r>
        <w:rPr>
          <w:rFonts w:ascii="仿宋" w:eastAsia="仿宋" w:hAnsi="仿宋"/>
          <w:sz w:val="32"/>
          <w:szCs w:val="32"/>
          <w:shd w:val="clear" w:color="auto" w:fill="FFFFFF" w:themeFill="background1"/>
        </w:rPr>
        <w:t>待遇保障</w:t>
      </w:r>
      <w:r>
        <w:rPr>
          <w:rFonts w:ascii="仿宋" w:eastAsia="仿宋" w:hAnsi="仿宋" w:hint="eastAsia"/>
          <w:sz w:val="32"/>
          <w:szCs w:val="32"/>
          <w:shd w:val="clear" w:color="auto" w:fill="FFFFFF" w:themeFill="background1"/>
        </w:rPr>
        <w:t>和医药服务管理科、医药价格和招标采购科、基金监管科、机关党委（人事科）。</w:t>
      </w:r>
    </w:p>
    <w:p w:rsidR="0057447D" w:rsidRDefault="007A4AFA">
      <w:pPr>
        <w:widowControl/>
        <w:shd w:val="clear" w:color="auto" w:fill="FFFFFF"/>
        <w:spacing w:line="432" w:lineRule="atLeast"/>
        <w:ind w:firstLine="645"/>
        <w:jc w:val="left"/>
        <w:textAlignment w:val="center"/>
        <w:rPr>
          <w:rFonts w:ascii="宋体" w:eastAsia="宋体" w:hAnsi="宋体" w:cs="宋体"/>
          <w:kern w:val="0"/>
          <w:sz w:val="24"/>
          <w:szCs w:val="24"/>
          <w:shd w:val="clear" w:color="auto" w:fill="FFFFFF" w:themeFill="background1"/>
        </w:rPr>
      </w:pPr>
      <w:r>
        <w:rPr>
          <w:rFonts w:ascii="仿宋" w:eastAsia="仿宋" w:hAnsi="仿宋" w:cs="宋体" w:hint="eastAsia"/>
          <w:b/>
          <w:bCs/>
          <w:kern w:val="0"/>
          <w:sz w:val="32"/>
          <w:shd w:val="clear" w:color="auto" w:fill="FFFFFF" w:themeFill="background1"/>
        </w:rPr>
        <w:t>二、机构设置</w:t>
      </w:r>
    </w:p>
    <w:p w:rsidR="0057447D" w:rsidRDefault="007A4AFA">
      <w:pPr>
        <w:widowControl/>
        <w:shd w:val="clear" w:color="auto" w:fill="FFFFFF"/>
        <w:spacing w:line="432" w:lineRule="atLeast"/>
        <w:ind w:firstLine="645"/>
        <w:jc w:val="left"/>
        <w:textAlignment w:val="center"/>
        <w:rPr>
          <w:rFonts w:ascii="仿宋" w:eastAsia="仿宋" w:hAnsi="仿宋" w:cs="宋体"/>
          <w:kern w:val="0"/>
          <w:sz w:val="32"/>
          <w:szCs w:val="32"/>
          <w:shd w:val="clear" w:color="auto" w:fill="FFFFFF" w:themeFill="background1"/>
        </w:rPr>
      </w:pPr>
      <w:r>
        <w:rPr>
          <w:rFonts w:ascii="仿宋" w:eastAsia="仿宋" w:hAnsi="仿宋" w:cs="宋体" w:hint="eastAsia"/>
          <w:kern w:val="0"/>
          <w:sz w:val="32"/>
          <w:szCs w:val="32"/>
          <w:shd w:val="clear" w:color="auto" w:fill="FFFFFF" w:themeFill="background1"/>
        </w:rPr>
        <w:t>本单位下设3个全额拨款事业单位，其中包括：州医疗保障事务中心、州医疗保障基金核查和信息中心、州医药价格评估和监测中心。本部门经州编委核定的编制人数为72人，其中：行政编制10人（政府机关人员10人、工勤人员0人）、事业编制62人。年末实有人数54人，其中在职人员54人。</w:t>
      </w:r>
    </w:p>
    <w:p w:rsidR="0057447D" w:rsidRDefault="007A4AFA" w:rsidP="00D80294">
      <w:pPr>
        <w:pStyle w:val="HTML"/>
        <w:widowControl/>
        <w:shd w:val="clear" w:color="auto" w:fill="FFFFFF"/>
        <w:ind w:firstLineChars="200" w:firstLine="640"/>
        <w:rPr>
          <w:rFonts w:ascii="仿宋" w:eastAsia="仿宋" w:hAnsi="仿宋" w:cs="宋体" w:hint="default"/>
          <w:sz w:val="32"/>
          <w:szCs w:val="32"/>
          <w:shd w:val="clear" w:color="auto" w:fill="FFFFFF" w:themeFill="background1"/>
        </w:rPr>
      </w:pPr>
      <w:r>
        <w:rPr>
          <w:rFonts w:ascii="仿宋" w:eastAsia="仿宋" w:hAnsi="仿宋" w:cs="宋体" w:hint="default"/>
          <w:sz w:val="32"/>
          <w:szCs w:val="32"/>
          <w:shd w:val="clear" w:color="auto" w:fill="FFFFFF" w:themeFill="background1"/>
        </w:rPr>
        <w:lastRenderedPageBreak/>
        <w:t>本部门预算为汇总预算，纳入编制范围的预算单位包括：</w:t>
      </w:r>
      <w:r>
        <w:rPr>
          <w:rFonts w:ascii="仿宋" w:eastAsia="仿宋" w:hAnsi="仿宋" w:cs="宋体"/>
          <w:sz w:val="32"/>
          <w:szCs w:val="32"/>
          <w:shd w:val="clear" w:color="auto" w:fill="FFFFFF" w:themeFill="background1"/>
        </w:rPr>
        <w:t>州</w:t>
      </w:r>
      <w:r>
        <w:rPr>
          <w:rFonts w:ascii="仿宋" w:eastAsia="仿宋" w:hAnsi="仿宋" w:cs="宋体" w:hint="default"/>
          <w:sz w:val="32"/>
          <w:szCs w:val="32"/>
          <w:shd w:val="clear" w:color="auto" w:fill="FFFFFF" w:themeFill="background1"/>
        </w:rPr>
        <w:t>医疗保障局本级</w:t>
      </w:r>
      <w:r>
        <w:rPr>
          <w:rFonts w:ascii="仿宋" w:eastAsia="仿宋" w:hAnsi="仿宋" w:cs="宋体"/>
          <w:sz w:val="32"/>
          <w:szCs w:val="32"/>
          <w:shd w:val="clear" w:color="auto" w:fill="FFFFFF" w:themeFill="background1"/>
        </w:rPr>
        <w:t>、州</w:t>
      </w:r>
      <w:r>
        <w:rPr>
          <w:rFonts w:ascii="仿宋" w:eastAsia="仿宋" w:hAnsi="仿宋" w:cs="宋体" w:hint="default"/>
          <w:sz w:val="32"/>
          <w:szCs w:val="32"/>
          <w:shd w:val="clear" w:color="auto" w:fill="FFFFFF" w:themeFill="background1"/>
        </w:rPr>
        <w:t>医疗保障事务中心</w:t>
      </w:r>
      <w:r>
        <w:rPr>
          <w:rFonts w:ascii="仿宋" w:eastAsia="仿宋" w:hAnsi="仿宋" w:cs="宋体"/>
          <w:sz w:val="32"/>
          <w:szCs w:val="32"/>
          <w:shd w:val="clear" w:color="auto" w:fill="FFFFFF" w:themeFill="background1"/>
        </w:rPr>
        <w:t>、州</w:t>
      </w:r>
      <w:r>
        <w:rPr>
          <w:rFonts w:ascii="仿宋" w:eastAsia="仿宋" w:hAnsi="仿宋" w:cs="宋体" w:hint="default"/>
          <w:sz w:val="32"/>
          <w:szCs w:val="32"/>
          <w:shd w:val="clear" w:color="auto" w:fill="FFFFFF" w:themeFill="background1"/>
        </w:rPr>
        <w:t>医疗保障基金核查和信息中心</w:t>
      </w:r>
      <w:r>
        <w:rPr>
          <w:rFonts w:ascii="仿宋" w:eastAsia="仿宋" w:hAnsi="仿宋" w:cs="宋体"/>
          <w:sz w:val="32"/>
          <w:szCs w:val="32"/>
          <w:shd w:val="clear" w:color="auto" w:fill="FFFFFF" w:themeFill="background1"/>
        </w:rPr>
        <w:t>、</w:t>
      </w:r>
      <w:r>
        <w:rPr>
          <w:rFonts w:ascii="仿宋" w:eastAsia="仿宋" w:hAnsi="仿宋" w:cs="宋体" w:hint="default"/>
          <w:sz w:val="32"/>
          <w:szCs w:val="32"/>
          <w:shd w:val="clear" w:color="auto" w:fill="FFFFFF" w:themeFill="background1"/>
        </w:rPr>
        <w:t>州医药价格评估和监测中心</w:t>
      </w:r>
      <w:r>
        <w:rPr>
          <w:rFonts w:ascii="仿宋" w:eastAsia="仿宋" w:hAnsi="仿宋" w:cs="宋体"/>
          <w:sz w:val="32"/>
          <w:szCs w:val="32"/>
          <w:shd w:val="clear" w:color="auto" w:fill="FFFFFF" w:themeFill="background1"/>
        </w:rPr>
        <w:t>。其中州医疗保障事务中心为内设二级机构，州</w:t>
      </w:r>
      <w:r>
        <w:rPr>
          <w:rFonts w:ascii="仿宋" w:eastAsia="仿宋" w:hAnsi="仿宋" w:cs="宋体" w:hint="default"/>
          <w:sz w:val="32"/>
          <w:szCs w:val="32"/>
          <w:shd w:val="clear" w:color="auto" w:fill="FFFFFF" w:themeFill="background1"/>
        </w:rPr>
        <w:t>医疗保障基金核查和信息中心</w:t>
      </w:r>
      <w:r>
        <w:rPr>
          <w:rFonts w:ascii="仿宋" w:eastAsia="仿宋" w:hAnsi="仿宋" w:cs="宋体"/>
          <w:sz w:val="32"/>
          <w:szCs w:val="32"/>
          <w:shd w:val="clear" w:color="auto" w:fill="FFFFFF" w:themeFill="background1"/>
        </w:rPr>
        <w:t>、</w:t>
      </w:r>
      <w:r>
        <w:rPr>
          <w:rFonts w:ascii="仿宋" w:eastAsia="仿宋" w:hAnsi="仿宋" w:cs="宋体" w:hint="default"/>
          <w:sz w:val="32"/>
          <w:szCs w:val="32"/>
          <w:shd w:val="clear" w:color="auto" w:fill="FFFFFF" w:themeFill="background1"/>
        </w:rPr>
        <w:t>州医药价格评估和监测中心</w:t>
      </w:r>
      <w:r>
        <w:rPr>
          <w:rFonts w:ascii="仿宋" w:eastAsia="仿宋" w:hAnsi="仿宋" w:cs="宋体"/>
          <w:sz w:val="32"/>
          <w:szCs w:val="32"/>
          <w:shd w:val="clear" w:color="auto" w:fill="FFFFFF" w:themeFill="background1"/>
        </w:rPr>
        <w:t>为直属事业单位（非独立预算单位）。</w:t>
      </w:r>
    </w:p>
    <w:p w:rsidR="0057447D" w:rsidRDefault="0057447D">
      <w:pPr>
        <w:pStyle w:val="HTML"/>
        <w:widowControl/>
        <w:shd w:val="clear" w:color="auto" w:fill="FFFFFF"/>
        <w:rPr>
          <w:rFonts w:ascii="仿宋" w:eastAsia="仿宋" w:hAnsi="仿宋" w:cs="宋体" w:hint="default"/>
          <w:sz w:val="32"/>
          <w:szCs w:val="32"/>
          <w:shd w:val="clear" w:color="auto" w:fill="FFFFFF" w:themeFill="background1"/>
        </w:rPr>
      </w:pPr>
    </w:p>
    <w:p w:rsidR="0057447D" w:rsidRDefault="0057447D">
      <w:pPr>
        <w:widowControl/>
        <w:shd w:val="clear" w:color="auto" w:fill="FFFFFF"/>
        <w:spacing w:line="432" w:lineRule="atLeast"/>
        <w:ind w:firstLine="645"/>
        <w:jc w:val="left"/>
        <w:textAlignment w:val="center"/>
        <w:rPr>
          <w:rFonts w:ascii="仿宋" w:eastAsia="仿宋" w:hAnsi="仿宋" w:cs="宋体"/>
          <w:kern w:val="0"/>
          <w:sz w:val="32"/>
          <w:szCs w:val="32"/>
          <w:shd w:val="clear" w:color="auto" w:fill="FFFFFF" w:themeFill="background1"/>
        </w:rPr>
      </w:pPr>
    </w:p>
    <w:p w:rsidR="0057447D" w:rsidRDefault="0057447D">
      <w:pPr>
        <w:rPr>
          <w:rFonts w:ascii="黑体" w:eastAsia="黑体" w:hAnsi="黑体"/>
          <w:sz w:val="28"/>
          <w:szCs w:val="28"/>
          <w:shd w:val="clear" w:color="auto" w:fill="FFFFFF" w:themeFill="background1"/>
        </w:rPr>
      </w:pPr>
    </w:p>
    <w:p w:rsidR="0057447D" w:rsidRDefault="0057447D">
      <w:pPr>
        <w:jc w:val="center"/>
        <w:rPr>
          <w:rFonts w:ascii="黑体" w:eastAsia="黑体" w:hAnsi="黑体"/>
          <w:sz w:val="28"/>
          <w:szCs w:val="28"/>
          <w:shd w:val="clear" w:color="auto" w:fill="FFFFFF" w:themeFill="background1"/>
        </w:rPr>
      </w:pPr>
    </w:p>
    <w:p w:rsidR="0057447D" w:rsidRDefault="0057447D">
      <w:pPr>
        <w:rPr>
          <w:rFonts w:ascii="黑体" w:eastAsia="黑体" w:hAnsi="黑体"/>
          <w:sz w:val="28"/>
          <w:szCs w:val="28"/>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7A4AFA">
      <w:pPr>
        <w:jc w:val="center"/>
        <w:rPr>
          <w:sz w:val="72"/>
          <w:szCs w:val="72"/>
          <w:shd w:val="clear" w:color="auto" w:fill="FFFFFF" w:themeFill="background1"/>
        </w:rPr>
      </w:pPr>
      <w:r>
        <w:rPr>
          <w:rFonts w:hint="eastAsia"/>
          <w:sz w:val="72"/>
          <w:szCs w:val="72"/>
          <w:shd w:val="clear" w:color="auto" w:fill="FFFFFF" w:themeFill="background1"/>
        </w:rPr>
        <w:t>第二部分</w:t>
      </w:r>
    </w:p>
    <w:p w:rsidR="0057447D" w:rsidRDefault="0057447D">
      <w:pPr>
        <w:jc w:val="center"/>
        <w:rPr>
          <w:sz w:val="72"/>
          <w:szCs w:val="72"/>
          <w:shd w:val="clear" w:color="auto" w:fill="FFFFFF" w:themeFill="background1"/>
        </w:rPr>
      </w:pPr>
    </w:p>
    <w:p w:rsidR="0057447D" w:rsidRDefault="007A4AFA">
      <w:pPr>
        <w:jc w:val="center"/>
        <w:rPr>
          <w:sz w:val="72"/>
          <w:szCs w:val="72"/>
          <w:shd w:val="clear" w:color="auto" w:fill="FFFFFF" w:themeFill="background1"/>
        </w:rPr>
      </w:pPr>
      <w:r>
        <w:rPr>
          <w:rFonts w:hint="eastAsia"/>
          <w:sz w:val="72"/>
          <w:szCs w:val="72"/>
          <w:shd w:val="clear" w:color="auto" w:fill="FFFFFF" w:themeFill="background1"/>
        </w:rPr>
        <w:t>部门决算表</w:t>
      </w:r>
    </w:p>
    <w:p w:rsidR="0057447D" w:rsidRDefault="0057447D">
      <w:pPr>
        <w:jc w:val="center"/>
        <w:rPr>
          <w:sz w:val="72"/>
          <w:szCs w:val="72"/>
          <w:shd w:val="clear" w:color="auto" w:fill="FFFFFF" w:themeFill="background1"/>
        </w:rPr>
      </w:pPr>
    </w:p>
    <w:p w:rsidR="0057447D" w:rsidRDefault="0057447D">
      <w:pPr>
        <w:jc w:val="center"/>
        <w:rPr>
          <w:sz w:val="72"/>
          <w:szCs w:val="72"/>
          <w:shd w:val="clear" w:color="auto" w:fill="FFFFFF" w:themeFill="background1"/>
        </w:rPr>
      </w:pPr>
    </w:p>
    <w:p w:rsidR="0057447D" w:rsidRDefault="0057447D">
      <w:pPr>
        <w:jc w:val="left"/>
        <w:rPr>
          <w:rFonts w:asciiTheme="minorEastAsia" w:hAnsiTheme="minorEastAsia"/>
          <w:sz w:val="32"/>
          <w:szCs w:val="32"/>
          <w:shd w:val="clear" w:color="auto" w:fill="FFFFFF" w:themeFill="background1"/>
        </w:rPr>
        <w:sectPr w:rsidR="0057447D">
          <w:pgSz w:w="11906" w:h="16838"/>
          <w:pgMar w:top="720" w:right="720" w:bottom="720" w:left="720" w:header="851" w:footer="992" w:gutter="0"/>
          <w:cols w:space="425"/>
          <w:docGrid w:type="lines" w:linePitch="312"/>
        </w:sectPr>
      </w:pPr>
    </w:p>
    <w:tbl>
      <w:tblPr>
        <w:tblW w:w="14081" w:type="dxa"/>
        <w:tblInd w:w="93" w:type="dxa"/>
        <w:tblLook w:val="04A0"/>
      </w:tblPr>
      <w:tblGrid>
        <w:gridCol w:w="4126"/>
        <w:gridCol w:w="449"/>
        <w:gridCol w:w="631"/>
        <w:gridCol w:w="599"/>
        <w:gridCol w:w="98"/>
        <w:gridCol w:w="232"/>
        <w:gridCol w:w="3468"/>
        <w:gridCol w:w="845"/>
        <w:gridCol w:w="1460"/>
        <w:gridCol w:w="657"/>
        <w:gridCol w:w="1516"/>
      </w:tblGrid>
      <w:tr w:rsidR="0057447D">
        <w:trPr>
          <w:trHeight w:val="360"/>
        </w:trPr>
        <w:tc>
          <w:tcPr>
            <w:tcW w:w="14081" w:type="dxa"/>
            <w:gridSpan w:val="11"/>
            <w:tcBorders>
              <w:top w:val="nil"/>
              <w:left w:val="nil"/>
              <w:bottom w:val="nil"/>
              <w:right w:val="nil"/>
            </w:tcBorders>
            <w:shd w:val="clear" w:color="auto" w:fill="auto"/>
            <w:noWrap/>
            <w:vAlign w:val="center"/>
          </w:tcPr>
          <w:p w:rsidR="0057447D" w:rsidRDefault="007A4AFA">
            <w:pPr>
              <w:widowControl/>
              <w:jc w:val="center"/>
              <w:rPr>
                <w:rFonts w:ascii="华文中宋" w:eastAsia="华文中宋" w:hAnsi="华文中宋" w:cs="宋体"/>
                <w:color w:val="000000"/>
                <w:kern w:val="0"/>
                <w:sz w:val="32"/>
                <w:szCs w:val="32"/>
                <w:shd w:val="clear" w:color="auto" w:fill="FFFFFF" w:themeFill="background1"/>
              </w:rPr>
            </w:pPr>
            <w:r>
              <w:rPr>
                <w:rFonts w:ascii="华文中宋" w:eastAsia="华文中宋" w:hAnsi="华文中宋" w:cs="宋体" w:hint="eastAsia"/>
                <w:color w:val="000000"/>
                <w:kern w:val="0"/>
                <w:sz w:val="32"/>
                <w:szCs w:val="32"/>
                <w:shd w:val="clear" w:color="auto" w:fill="FFFFFF" w:themeFill="background1"/>
              </w:rPr>
              <w:lastRenderedPageBreak/>
              <w:t>收入支出决算总表</w:t>
            </w:r>
          </w:p>
        </w:tc>
      </w:tr>
      <w:tr w:rsidR="0057447D">
        <w:trPr>
          <w:trHeight w:val="199"/>
        </w:trPr>
        <w:tc>
          <w:tcPr>
            <w:tcW w:w="5206" w:type="dxa"/>
            <w:gridSpan w:val="3"/>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697" w:type="dxa"/>
            <w:gridSpan w:val="2"/>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32" w:type="dxa"/>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5773" w:type="dxa"/>
            <w:gridSpan w:val="3"/>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657" w:type="dxa"/>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1516" w:type="dxa"/>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color w:val="000000"/>
                <w:kern w:val="0"/>
                <w:sz w:val="20"/>
                <w:szCs w:val="20"/>
                <w:shd w:val="clear" w:color="auto" w:fill="FFFFFF" w:themeFill="background1"/>
              </w:rPr>
            </w:pPr>
            <w:r>
              <w:rPr>
                <w:rFonts w:ascii="宋体" w:eastAsia="宋体" w:hAnsi="宋体" w:cs="宋体" w:hint="eastAsia"/>
                <w:color w:val="000000"/>
                <w:kern w:val="0"/>
                <w:sz w:val="20"/>
                <w:szCs w:val="20"/>
                <w:shd w:val="clear" w:color="auto" w:fill="FFFFFF" w:themeFill="background1"/>
              </w:rPr>
              <w:t>公开01表</w:t>
            </w:r>
          </w:p>
        </w:tc>
      </w:tr>
      <w:tr w:rsidR="0057447D">
        <w:trPr>
          <w:trHeight w:val="300"/>
        </w:trPr>
        <w:tc>
          <w:tcPr>
            <w:tcW w:w="5206" w:type="dxa"/>
            <w:gridSpan w:val="3"/>
            <w:tcBorders>
              <w:top w:val="nil"/>
              <w:left w:val="nil"/>
              <w:bottom w:val="nil"/>
              <w:right w:val="nil"/>
            </w:tcBorders>
            <w:shd w:val="clear" w:color="000000" w:fill="FFFFFF"/>
            <w:noWrap/>
            <w:vAlign w:val="center"/>
          </w:tcPr>
          <w:p w:rsidR="0057447D" w:rsidRDefault="007A4AFA">
            <w:pPr>
              <w:widowControl/>
              <w:jc w:val="left"/>
              <w:rPr>
                <w:rFonts w:ascii="宋体" w:eastAsia="宋体" w:hAnsi="宋体" w:cs="宋体"/>
                <w:color w:val="000000"/>
                <w:kern w:val="0"/>
                <w:sz w:val="20"/>
                <w:szCs w:val="20"/>
                <w:shd w:val="clear" w:color="auto" w:fill="FFFFFF" w:themeFill="background1"/>
              </w:rPr>
            </w:pPr>
            <w:r>
              <w:rPr>
                <w:rFonts w:ascii="宋体" w:eastAsia="宋体" w:hAnsi="宋体" w:cs="宋体" w:hint="eastAsia"/>
                <w:color w:val="000000"/>
                <w:kern w:val="0"/>
                <w:sz w:val="20"/>
                <w:szCs w:val="20"/>
                <w:shd w:val="clear" w:color="auto" w:fill="FFFFFF" w:themeFill="background1"/>
              </w:rPr>
              <w:t>部门：湘西州医疗保障局</w:t>
            </w:r>
          </w:p>
        </w:tc>
        <w:tc>
          <w:tcPr>
            <w:tcW w:w="697" w:type="dxa"/>
            <w:gridSpan w:val="2"/>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32" w:type="dxa"/>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5773" w:type="dxa"/>
            <w:gridSpan w:val="3"/>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657" w:type="dxa"/>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1516" w:type="dxa"/>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color w:val="000000"/>
                <w:kern w:val="0"/>
                <w:sz w:val="20"/>
                <w:szCs w:val="20"/>
                <w:shd w:val="clear" w:color="auto" w:fill="FFFFFF" w:themeFill="background1"/>
              </w:rPr>
            </w:pPr>
            <w:r>
              <w:rPr>
                <w:rFonts w:ascii="宋体" w:eastAsia="宋体" w:hAnsi="宋体" w:cs="宋体" w:hint="eastAsia"/>
                <w:color w:val="000000"/>
                <w:kern w:val="0"/>
                <w:sz w:val="20"/>
                <w:szCs w:val="20"/>
                <w:shd w:val="clear" w:color="auto" w:fill="FFFFFF" w:themeFill="background1"/>
              </w:rPr>
              <w:t>单位：万元</w:t>
            </w:r>
          </w:p>
        </w:tc>
      </w:tr>
      <w:tr w:rsidR="0057447D">
        <w:trPr>
          <w:trHeight w:val="340"/>
        </w:trPr>
        <w:tc>
          <w:tcPr>
            <w:tcW w:w="58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收入</w:t>
            </w:r>
          </w:p>
        </w:tc>
        <w:tc>
          <w:tcPr>
            <w:tcW w:w="8276" w:type="dxa"/>
            <w:gridSpan w:val="7"/>
            <w:tcBorders>
              <w:top w:val="single" w:sz="4" w:space="0" w:color="auto"/>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支出</w:t>
            </w:r>
          </w:p>
        </w:tc>
      </w:tr>
      <w:tr w:rsidR="0057447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项目</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行次</w:t>
            </w:r>
          </w:p>
        </w:tc>
        <w:tc>
          <w:tcPr>
            <w:tcW w:w="1230" w:type="dxa"/>
            <w:gridSpan w:val="2"/>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决算数</w:t>
            </w:r>
          </w:p>
        </w:tc>
        <w:tc>
          <w:tcPr>
            <w:tcW w:w="3798" w:type="dxa"/>
            <w:gridSpan w:val="3"/>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项目</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行次</w:t>
            </w:r>
          </w:p>
        </w:tc>
        <w:tc>
          <w:tcPr>
            <w:tcW w:w="3633" w:type="dxa"/>
            <w:gridSpan w:val="3"/>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决算数</w:t>
            </w:r>
          </w:p>
        </w:tc>
      </w:tr>
      <w:tr w:rsidR="0057447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栏次</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1230" w:type="dxa"/>
            <w:gridSpan w:val="2"/>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1</w:t>
            </w:r>
          </w:p>
        </w:tc>
        <w:tc>
          <w:tcPr>
            <w:tcW w:w="3798" w:type="dxa"/>
            <w:gridSpan w:val="3"/>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栏次</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633" w:type="dxa"/>
            <w:gridSpan w:val="3"/>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2</w:t>
            </w:r>
          </w:p>
        </w:tc>
      </w:tr>
      <w:tr w:rsidR="0057447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902.19</w:t>
            </w:r>
          </w:p>
        </w:tc>
        <w:tc>
          <w:tcPr>
            <w:tcW w:w="3798" w:type="dxa"/>
            <w:gridSpan w:val="3"/>
            <w:tcBorders>
              <w:top w:val="nil"/>
              <w:left w:val="nil"/>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14</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17.11</w:t>
            </w:r>
          </w:p>
        </w:tc>
      </w:tr>
      <w:tr w:rsidR="0057447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2</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10</w:t>
            </w:r>
          </w:p>
        </w:tc>
        <w:tc>
          <w:tcPr>
            <w:tcW w:w="3798" w:type="dxa"/>
            <w:gridSpan w:val="3"/>
            <w:tcBorders>
              <w:top w:val="nil"/>
              <w:left w:val="nil"/>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二、外交支出</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15</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kern w:val="0"/>
                <w:sz w:val="22"/>
                <w:shd w:val="clear" w:color="auto" w:fill="FFFFFF" w:themeFill="background1"/>
              </w:rPr>
            </w:pPr>
          </w:p>
        </w:tc>
      </w:tr>
      <w:tr w:rsidR="0057447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3</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kern w:val="0"/>
                <w:sz w:val="22"/>
                <w:shd w:val="clear" w:color="auto" w:fill="FFFFFF" w:themeFill="background1"/>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三、国防支出</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16</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kern w:val="0"/>
                <w:sz w:val="22"/>
                <w:shd w:val="clear" w:color="auto" w:fill="FFFFFF" w:themeFill="background1"/>
              </w:rPr>
            </w:pPr>
          </w:p>
        </w:tc>
      </w:tr>
      <w:tr w:rsidR="0057447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四、上级补助收入</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4</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kern w:val="0"/>
                <w:sz w:val="22"/>
                <w:shd w:val="clear" w:color="auto" w:fill="FFFFFF" w:themeFill="background1"/>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四、公共安全支出</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17</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kern w:val="0"/>
                <w:sz w:val="22"/>
                <w:shd w:val="clear" w:color="auto" w:fill="FFFFFF" w:themeFill="background1"/>
              </w:rPr>
            </w:pPr>
          </w:p>
        </w:tc>
      </w:tr>
      <w:tr w:rsidR="0057447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五、事业收入</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5</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kern w:val="0"/>
                <w:sz w:val="22"/>
                <w:shd w:val="clear" w:color="auto" w:fill="FFFFFF" w:themeFill="background1"/>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五、教育支出</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18</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kern w:val="0"/>
                <w:sz w:val="22"/>
                <w:shd w:val="clear" w:color="auto" w:fill="FFFFFF" w:themeFill="background1"/>
              </w:rPr>
            </w:pPr>
          </w:p>
        </w:tc>
      </w:tr>
      <w:tr w:rsidR="0057447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六、经营收入</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6</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kern w:val="0"/>
                <w:sz w:val="22"/>
                <w:shd w:val="clear" w:color="auto" w:fill="FFFFFF" w:themeFill="background1"/>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六、科学技术支出</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19</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kern w:val="0"/>
                <w:sz w:val="22"/>
                <w:shd w:val="clear" w:color="auto" w:fill="FFFFFF" w:themeFill="background1"/>
              </w:rPr>
            </w:pPr>
          </w:p>
        </w:tc>
      </w:tr>
      <w:tr w:rsidR="0057447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7</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kern w:val="0"/>
                <w:sz w:val="22"/>
                <w:shd w:val="clear" w:color="auto" w:fill="FFFFFF" w:themeFill="background1"/>
              </w:rPr>
            </w:pPr>
          </w:p>
        </w:tc>
        <w:tc>
          <w:tcPr>
            <w:tcW w:w="3798"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八、社会保障和就业支出</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20</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kern w:val="0"/>
                <w:sz w:val="22"/>
                <w:shd w:val="clear" w:color="auto" w:fill="FFFFFF" w:themeFill="background1"/>
              </w:rPr>
              <w:t>63.89</w:t>
            </w:r>
          </w:p>
        </w:tc>
      </w:tr>
      <w:tr w:rsidR="0057447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八、其他收入</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8</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6.29</w:t>
            </w:r>
          </w:p>
        </w:tc>
        <w:tc>
          <w:tcPr>
            <w:tcW w:w="3798"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b/>
                <w:kern w:val="0"/>
                <w:sz w:val="22"/>
                <w:shd w:val="clear" w:color="auto" w:fill="FFFFFF" w:themeFill="background1"/>
              </w:rPr>
            </w:pPr>
            <w:r>
              <w:rPr>
                <w:rFonts w:ascii="宋体" w:eastAsia="宋体" w:hAnsi="宋体" w:cs="宋体" w:hint="eastAsia"/>
                <w:kern w:val="0"/>
                <w:sz w:val="22"/>
                <w:shd w:val="clear" w:color="auto" w:fill="FFFFFF" w:themeFill="background1"/>
              </w:rPr>
              <w:t>九、卫生健康支出</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21</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768.85</w:t>
            </w:r>
          </w:p>
        </w:tc>
      </w:tr>
      <w:tr w:rsidR="0057447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right"/>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9</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7A4AFA">
            <w:pPr>
              <w:widowControl/>
              <w:jc w:val="righ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十九、住房保障支出</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22</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kern w:val="0"/>
                <w:sz w:val="22"/>
                <w:shd w:val="clear" w:color="auto" w:fill="FFFFFF" w:themeFill="background1"/>
              </w:rPr>
              <w:t>34.83</w:t>
            </w:r>
          </w:p>
        </w:tc>
      </w:tr>
      <w:tr w:rsidR="0057447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b/>
                <w:bCs/>
                <w:kern w:val="0"/>
                <w:sz w:val="22"/>
                <w:shd w:val="clear" w:color="auto" w:fill="FFFFFF" w:themeFill="background1"/>
              </w:rPr>
            </w:pPr>
          </w:p>
        </w:tc>
        <w:tc>
          <w:tcPr>
            <w:tcW w:w="449" w:type="dxa"/>
            <w:tcBorders>
              <w:top w:val="nil"/>
              <w:left w:val="nil"/>
              <w:bottom w:val="single" w:sz="4" w:space="0" w:color="auto"/>
              <w:right w:val="single" w:sz="4" w:space="0" w:color="auto"/>
            </w:tcBorders>
            <w:shd w:val="clear" w:color="000000" w:fill="FFFFFF"/>
            <w:noWrap/>
            <w:vAlign w:val="center"/>
          </w:tcPr>
          <w:p w:rsidR="0057447D" w:rsidRDefault="0057447D">
            <w:pPr>
              <w:widowControl/>
              <w:jc w:val="center"/>
              <w:rPr>
                <w:rFonts w:ascii="宋体" w:eastAsia="宋体" w:hAnsi="宋体" w:cs="宋体"/>
                <w:kern w:val="0"/>
                <w:sz w:val="22"/>
                <w:shd w:val="clear" w:color="auto" w:fill="FFFFFF" w:themeFill="background1"/>
              </w:rPr>
            </w:pP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57447D">
            <w:pPr>
              <w:widowControl/>
              <w:jc w:val="right"/>
              <w:rPr>
                <w:rFonts w:ascii="宋体" w:eastAsia="宋体" w:hAnsi="宋体" w:cs="宋体"/>
                <w:kern w:val="0"/>
                <w:sz w:val="22"/>
                <w:shd w:val="clear" w:color="auto" w:fill="FFFFFF" w:themeFill="background1"/>
              </w:rPr>
            </w:pPr>
          </w:p>
        </w:tc>
        <w:tc>
          <w:tcPr>
            <w:tcW w:w="3798" w:type="dxa"/>
            <w:gridSpan w:val="3"/>
            <w:tcBorders>
              <w:top w:val="nil"/>
              <w:left w:val="nil"/>
              <w:bottom w:val="single" w:sz="4" w:space="0" w:color="auto"/>
              <w:right w:val="single" w:sz="4" w:space="0" w:color="auto"/>
            </w:tcBorders>
            <w:shd w:val="clear" w:color="auto" w:fill="auto"/>
            <w:noWrap/>
            <w:vAlign w:val="center"/>
          </w:tcPr>
          <w:p w:rsidR="0057447D" w:rsidRDefault="007A4AFA">
            <w:pPr>
              <w:jc w:val="left"/>
              <w:rPr>
                <w:rFonts w:ascii="宋体" w:eastAsia="宋体" w:hAnsi="宋体" w:cs="Arial"/>
                <w:color w:val="000000"/>
                <w:sz w:val="22"/>
                <w:shd w:val="clear" w:color="auto" w:fill="FFFFFF" w:themeFill="background1"/>
              </w:rPr>
            </w:pPr>
            <w:r>
              <w:rPr>
                <w:rFonts w:cs="Arial" w:hint="eastAsia"/>
                <w:color w:val="000000"/>
                <w:sz w:val="22"/>
                <w:shd w:val="clear" w:color="auto" w:fill="FFFFFF" w:themeFill="background1"/>
              </w:rPr>
              <w:t>二十六、抗疫特别国债安排的支出</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57447D">
            <w:pPr>
              <w:widowControl/>
              <w:jc w:val="center"/>
              <w:rPr>
                <w:rFonts w:ascii="宋体" w:eastAsia="宋体" w:hAnsi="宋体" w:cs="宋体"/>
                <w:kern w:val="0"/>
                <w:sz w:val="22"/>
                <w:shd w:val="clear" w:color="auto" w:fill="FFFFFF" w:themeFill="background1"/>
              </w:rPr>
            </w:pP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10</w:t>
            </w:r>
          </w:p>
        </w:tc>
      </w:tr>
      <w:tr w:rsidR="0057447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b/>
                <w:bCs/>
                <w:kern w:val="0"/>
                <w:sz w:val="22"/>
                <w:shd w:val="clear" w:color="auto" w:fill="FFFFFF" w:themeFill="background1"/>
              </w:rPr>
            </w:pPr>
            <w:r>
              <w:rPr>
                <w:rFonts w:ascii="宋体" w:eastAsia="宋体" w:hAnsi="宋体" w:cs="宋体" w:hint="eastAsia"/>
                <w:b/>
                <w:bCs/>
                <w:kern w:val="0"/>
                <w:sz w:val="22"/>
                <w:shd w:val="clear" w:color="auto" w:fill="FFFFFF" w:themeFill="background1"/>
              </w:rPr>
              <w:t>本年收入合计</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10</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7A4AFA">
            <w:pPr>
              <w:widowControl/>
              <w:jc w:val="right"/>
              <w:rPr>
                <w:rFonts w:ascii="宋体" w:eastAsia="宋体" w:hAnsi="宋体" w:cs="宋体"/>
                <w:b/>
                <w:kern w:val="0"/>
                <w:sz w:val="22"/>
                <w:shd w:val="clear" w:color="auto" w:fill="FFFFFF" w:themeFill="background1"/>
              </w:rPr>
            </w:pPr>
            <w:r>
              <w:rPr>
                <w:rFonts w:ascii="宋体" w:eastAsia="宋体" w:hAnsi="宋体" w:cs="宋体" w:hint="eastAsia"/>
                <w:b/>
                <w:kern w:val="0"/>
                <w:sz w:val="22"/>
                <w:shd w:val="clear" w:color="auto" w:fill="FFFFFF" w:themeFill="background1"/>
              </w:rPr>
              <w:t xml:space="preserve">918.48　</w:t>
            </w:r>
          </w:p>
        </w:tc>
        <w:tc>
          <w:tcPr>
            <w:tcW w:w="3798"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b/>
                <w:bCs/>
                <w:kern w:val="0"/>
                <w:sz w:val="22"/>
                <w:shd w:val="clear" w:color="auto" w:fill="FFFFFF" w:themeFill="background1"/>
              </w:rPr>
            </w:pPr>
            <w:r>
              <w:rPr>
                <w:rFonts w:ascii="宋体" w:eastAsia="宋体" w:hAnsi="宋体" w:cs="宋体" w:hint="eastAsia"/>
                <w:b/>
                <w:bCs/>
                <w:kern w:val="0"/>
                <w:sz w:val="22"/>
                <w:shd w:val="clear" w:color="auto" w:fill="FFFFFF" w:themeFill="background1"/>
              </w:rPr>
              <w:t>本年支出合计</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23</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b/>
                <w:kern w:val="0"/>
                <w:sz w:val="22"/>
                <w:shd w:val="clear" w:color="auto" w:fill="FFFFFF" w:themeFill="background1"/>
              </w:rPr>
            </w:pPr>
            <w:r>
              <w:rPr>
                <w:rFonts w:ascii="宋体" w:eastAsia="宋体" w:hAnsi="宋体" w:cs="宋体" w:hint="eastAsia"/>
                <w:b/>
                <w:kern w:val="0"/>
                <w:sz w:val="22"/>
                <w:shd w:val="clear" w:color="auto" w:fill="FFFFFF" w:themeFill="background1"/>
              </w:rPr>
              <w:t>894.68</w:t>
            </w:r>
          </w:p>
        </w:tc>
      </w:tr>
      <w:tr w:rsidR="0057447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使用非财政拨款结余</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11</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7A4AFA">
            <w:pPr>
              <w:widowControl/>
              <w:jc w:val="righ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 xml:space="preserve">0　</w:t>
            </w:r>
          </w:p>
        </w:tc>
        <w:tc>
          <w:tcPr>
            <w:tcW w:w="3798"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结余分配</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24</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0</w:t>
            </w:r>
          </w:p>
        </w:tc>
      </w:tr>
      <w:tr w:rsidR="0057447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年初结转和结余</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12</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7A4AFA">
            <w:pPr>
              <w:widowControl/>
              <w:jc w:val="righ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 xml:space="preserve">1890.17　</w:t>
            </w:r>
          </w:p>
        </w:tc>
        <w:tc>
          <w:tcPr>
            <w:tcW w:w="3798"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年末结转和结余</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25</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kern w:val="0"/>
                <w:sz w:val="22"/>
                <w:shd w:val="clear" w:color="auto" w:fill="FFFFFF" w:themeFill="background1"/>
              </w:rPr>
              <w:t>869.8</w:t>
            </w:r>
            <w:r>
              <w:rPr>
                <w:rFonts w:ascii="宋体" w:eastAsia="宋体" w:hAnsi="宋体" w:cs="宋体" w:hint="eastAsia"/>
                <w:kern w:val="0"/>
                <w:sz w:val="22"/>
                <w:shd w:val="clear" w:color="auto" w:fill="FFFFFF" w:themeFill="background1"/>
              </w:rPr>
              <w:t>3</w:t>
            </w:r>
          </w:p>
        </w:tc>
      </w:tr>
      <w:tr w:rsidR="0057447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b/>
                <w:bCs/>
                <w:kern w:val="0"/>
                <w:sz w:val="22"/>
                <w:shd w:val="clear" w:color="auto" w:fill="FFFFFF" w:themeFill="background1"/>
              </w:rPr>
            </w:pPr>
            <w:r>
              <w:rPr>
                <w:rFonts w:ascii="宋体" w:eastAsia="宋体" w:hAnsi="宋体" w:cs="宋体" w:hint="eastAsia"/>
                <w:b/>
                <w:bCs/>
                <w:kern w:val="0"/>
                <w:sz w:val="22"/>
                <w:shd w:val="clear" w:color="auto" w:fill="FFFFFF" w:themeFill="background1"/>
              </w:rPr>
              <w:t>总计</w:t>
            </w:r>
          </w:p>
        </w:tc>
        <w:tc>
          <w:tcPr>
            <w:tcW w:w="449"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13</w:t>
            </w:r>
          </w:p>
        </w:tc>
        <w:tc>
          <w:tcPr>
            <w:tcW w:w="1230" w:type="dxa"/>
            <w:gridSpan w:val="2"/>
            <w:tcBorders>
              <w:top w:val="nil"/>
              <w:left w:val="nil"/>
              <w:bottom w:val="single" w:sz="4" w:space="0" w:color="auto"/>
              <w:right w:val="single" w:sz="4" w:space="0" w:color="auto"/>
            </w:tcBorders>
            <w:shd w:val="clear" w:color="auto" w:fill="auto"/>
            <w:noWrap/>
            <w:vAlign w:val="center"/>
          </w:tcPr>
          <w:p w:rsidR="0057447D" w:rsidRDefault="007A4AFA">
            <w:pPr>
              <w:widowControl/>
              <w:jc w:val="right"/>
              <w:rPr>
                <w:rFonts w:ascii="宋体" w:eastAsia="宋体" w:hAnsi="宋体" w:cs="宋体"/>
                <w:b/>
                <w:kern w:val="0"/>
                <w:sz w:val="22"/>
                <w:shd w:val="clear" w:color="auto" w:fill="FFFFFF" w:themeFill="background1"/>
              </w:rPr>
            </w:pPr>
            <w:r>
              <w:rPr>
                <w:rFonts w:ascii="宋体" w:eastAsia="宋体" w:hAnsi="宋体" w:cs="宋体" w:hint="eastAsia"/>
                <w:b/>
                <w:kern w:val="0"/>
                <w:sz w:val="22"/>
                <w:shd w:val="clear" w:color="auto" w:fill="FFFFFF" w:themeFill="background1"/>
              </w:rPr>
              <w:t xml:space="preserve">2808.65　</w:t>
            </w:r>
          </w:p>
        </w:tc>
        <w:tc>
          <w:tcPr>
            <w:tcW w:w="3798" w:type="dxa"/>
            <w:gridSpan w:val="3"/>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b/>
                <w:bCs/>
                <w:kern w:val="0"/>
                <w:sz w:val="22"/>
                <w:shd w:val="clear" w:color="auto" w:fill="FFFFFF" w:themeFill="background1"/>
              </w:rPr>
            </w:pPr>
            <w:r>
              <w:rPr>
                <w:rFonts w:ascii="宋体" w:eastAsia="宋体" w:hAnsi="宋体" w:cs="宋体" w:hint="eastAsia"/>
                <w:b/>
                <w:bCs/>
                <w:kern w:val="0"/>
                <w:sz w:val="22"/>
                <w:shd w:val="clear" w:color="auto" w:fill="FFFFFF" w:themeFill="background1"/>
              </w:rPr>
              <w:t>总计</w:t>
            </w:r>
          </w:p>
        </w:tc>
        <w:tc>
          <w:tcPr>
            <w:tcW w:w="845" w:type="dxa"/>
            <w:tcBorders>
              <w:top w:val="nil"/>
              <w:left w:val="nil"/>
              <w:bottom w:val="single" w:sz="4" w:space="0" w:color="auto"/>
              <w:right w:val="single" w:sz="4" w:space="0" w:color="auto"/>
            </w:tcBorders>
            <w:shd w:val="clear" w:color="000000" w:fill="FFFFFF"/>
            <w:noWrap/>
            <w:vAlign w:val="center"/>
          </w:tcPr>
          <w:p w:rsidR="0057447D" w:rsidRDefault="007A4AFA">
            <w:pPr>
              <w:widowControl/>
              <w:jc w:val="center"/>
              <w:rPr>
                <w:rFonts w:ascii="宋体" w:eastAsia="宋体" w:hAnsi="宋体" w:cs="宋体"/>
                <w:kern w:val="0"/>
                <w:sz w:val="22"/>
                <w:shd w:val="clear" w:color="auto" w:fill="FFFFFF" w:themeFill="background1"/>
              </w:rPr>
            </w:pPr>
            <w:r>
              <w:rPr>
                <w:rFonts w:ascii="宋体" w:eastAsia="宋体" w:hAnsi="宋体" w:cs="宋体" w:hint="eastAsia"/>
                <w:kern w:val="0"/>
                <w:sz w:val="22"/>
                <w:shd w:val="clear" w:color="auto" w:fill="FFFFFF" w:themeFill="background1"/>
              </w:rPr>
              <w:t>26</w:t>
            </w:r>
          </w:p>
        </w:tc>
        <w:tc>
          <w:tcPr>
            <w:tcW w:w="3633" w:type="dxa"/>
            <w:gridSpan w:val="3"/>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b/>
                <w:bCs/>
                <w:kern w:val="0"/>
                <w:sz w:val="22"/>
                <w:shd w:val="clear" w:color="auto" w:fill="FFFFFF" w:themeFill="background1"/>
              </w:rPr>
            </w:pPr>
            <w:r>
              <w:rPr>
                <w:rFonts w:ascii="宋体" w:eastAsia="宋体" w:hAnsi="宋体" w:cs="宋体" w:hint="eastAsia"/>
                <w:b/>
                <w:bCs/>
                <w:kern w:val="0"/>
                <w:sz w:val="22"/>
                <w:shd w:val="clear" w:color="auto" w:fill="FFFFFF" w:themeFill="background1"/>
              </w:rPr>
              <w:t>1764.51</w:t>
            </w:r>
          </w:p>
        </w:tc>
      </w:tr>
    </w:tbl>
    <w:p w:rsidR="0057447D" w:rsidRDefault="007A4AFA">
      <w:pPr>
        <w:rPr>
          <w:rFonts w:ascii="黑体" w:eastAsia="黑体" w:hAnsi="黑体"/>
          <w:sz w:val="28"/>
          <w:szCs w:val="28"/>
          <w:shd w:val="clear" w:color="auto" w:fill="FFFFFF" w:themeFill="background1"/>
        </w:rPr>
        <w:sectPr w:rsidR="0057447D">
          <w:pgSz w:w="16838" w:h="11906" w:orient="landscape"/>
          <w:pgMar w:top="1797" w:right="1440" w:bottom="1797" w:left="1440" w:header="851" w:footer="992" w:gutter="0"/>
          <w:cols w:space="425"/>
          <w:docGrid w:type="linesAndChars" w:linePitch="312"/>
        </w:sectPr>
      </w:pPr>
      <w:r>
        <w:rPr>
          <w:rFonts w:ascii="宋体" w:eastAsia="宋体" w:hAnsi="宋体" w:cs="宋体" w:hint="eastAsia"/>
          <w:kern w:val="0"/>
          <w:sz w:val="24"/>
          <w:szCs w:val="24"/>
          <w:shd w:val="clear" w:color="auto" w:fill="FFFFFF" w:themeFill="background1"/>
        </w:rPr>
        <w:t>注：1.本表反映部门本年度的总收支和年末结转结余情况。</w:t>
      </w:r>
      <w:r>
        <w:rPr>
          <w:rFonts w:ascii="宋体" w:eastAsia="宋体" w:hAnsi="宋体" w:cs="宋体" w:hint="eastAsia"/>
          <w:kern w:val="0"/>
          <w:sz w:val="24"/>
          <w:szCs w:val="24"/>
          <w:shd w:val="clear" w:color="auto" w:fill="FFFFFF" w:themeFill="background1"/>
        </w:rPr>
        <w:br/>
        <w:t xml:space="preserve"> 2.本套报表金额单位转换时可能存在尾数误差。</w:t>
      </w:r>
    </w:p>
    <w:tbl>
      <w:tblPr>
        <w:tblW w:w="15428" w:type="dxa"/>
        <w:tblCellMar>
          <w:left w:w="0" w:type="dxa"/>
          <w:right w:w="0" w:type="dxa"/>
        </w:tblCellMar>
        <w:tblLook w:val="04A0"/>
      </w:tblPr>
      <w:tblGrid>
        <w:gridCol w:w="1543"/>
        <w:gridCol w:w="1542"/>
        <w:gridCol w:w="1542"/>
        <w:gridCol w:w="1543"/>
        <w:gridCol w:w="1543"/>
        <w:gridCol w:w="1543"/>
        <w:gridCol w:w="1543"/>
        <w:gridCol w:w="1543"/>
        <w:gridCol w:w="1543"/>
        <w:gridCol w:w="1543"/>
      </w:tblGrid>
      <w:tr w:rsidR="0057447D">
        <w:trPr>
          <w:trHeight w:val="435"/>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rsidR="0057447D" w:rsidRDefault="007A4AFA">
            <w:pPr>
              <w:widowControl/>
              <w:jc w:val="center"/>
              <w:rPr>
                <w:rFonts w:ascii="华文中宋" w:eastAsia="华文中宋" w:hAnsi="华文中宋" w:cs="宋体"/>
                <w:color w:val="000000"/>
                <w:kern w:val="0"/>
                <w:sz w:val="32"/>
                <w:szCs w:val="32"/>
                <w:shd w:val="clear" w:color="auto" w:fill="FFFFFF" w:themeFill="background1"/>
              </w:rPr>
            </w:pPr>
            <w:r>
              <w:rPr>
                <w:rFonts w:ascii="华文中宋" w:eastAsia="华文中宋" w:hAnsi="华文中宋" w:cs="宋体" w:hint="eastAsia"/>
                <w:color w:val="000000"/>
                <w:kern w:val="0"/>
                <w:sz w:val="32"/>
                <w:szCs w:val="32"/>
                <w:shd w:val="clear" w:color="auto" w:fill="FFFFFF" w:themeFill="background1"/>
              </w:rPr>
              <w:lastRenderedPageBreak/>
              <w:t>收入决算表</w:t>
            </w:r>
          </w:p>
          <w:tbl>
            <w:tblPr>
              <w:tblW w:w="15398" w:type="dxa"/>
              <w:tblLook w:val="04A0"/>
            </w:tblPr>
            <w:tblGrid>
              <w:gridCol w:w="1168"/>
              <w:gridCol w:w="3660"/>
              <w:gridCol w:w="1510"/>
              <w:gridCol w:w="1510"/>
              <w:gridCol w:w="1510"/>
              <w:gridCol w:w="1510"/>
              <w:gridCol w:w="1510"/>
              <w:gridCol w:w="1510"/>
              <w:gridCol w:w="1510"/>
            </w:tblGrid>
            <w:tr w:rsidR="0057447D">
              <w:trPr>
                <w:trHeight w:val="255"/>
              </w:trPr>
              <w:tc>
                <w:tcPr>
                  <w:tcW w:w="4828" w:type="dxa"/>
                  <w:gridSpan w:val="2"/>
                  <w:tcBorders>
                    <w:top w:val="nil"/>
                    <w:left w:val="nil"/>
                    <w:bottom w:val="nil"/>
                    <w:right w:val="nil"/>
                  </w:tcBorders>
                  <w:shd w:val="clear" w:color="auto" w:fill="auto"/>
                  <w:noWrap/>
                  <w:vAlign w:val="bottom"/>
                </w:tcPr>
                <w:p w:rsidR="0057447D" w:rsidRDefault="007A4AFA">
                  <w:pPr>
                    <w:widowControl/>
                    <w:jc w:val="lef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部门：湘西州医疗保障局</w:t>
                  </w:r>
                </w:p>
              </w:tc>
              <w:tc>
                <w:tcPr>
                  <w:tcW w:w="151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51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51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51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51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51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510" w:type="dxa"/>
                  <w:tcBorders>
                    <w:top w:val="nil"/>
                    <w:left w:val="nil"/>
                    <w:bottom w:val="nil"/>
                    <w:right w:val="nil"/>
                  </w:tcBorders>
                  <w:shd w:val="clear" w:color="auto" w:fill="auto"/>
                  <w:noWrap/>
                  <w:vAlign w:val="bottom"/>
                </w:tcPr>
                <w:p w:rsidR="0057447D" w:rsidRDefault="007A4AFA">
                  <w:pPr>
                    <w:widowControl/>
                    <w:jc w:val="righ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金额单位：万元</w:t>
                  </w:r>
                </w:p>
              </w:tc>
            </w:tr>
            <w:tr w:rsidR="0057447D">
              <w:trPr>
                <w:trHeight w:val="308"/>
              </w:trPr>
              <w:tc>
                <w:tcPr>
                  <w:tcW w:w="4828" w:type="dxa"/>
                  <w:gridSpan w:val="2"/>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项目</w:t>
                  </w:r>
                </w:p>
              </w:tc>
              <w:tc>
                <w:tcPr>
                  <w:tcW w:w="1510" w:type="dxa"/>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本年收入合计</w:t>
                  </w:r>
                </w:p>
              </w:tc>
              <w:tc>
                <w:tcPr>
                  <w:tcW w:w="1510" w:type="dxa"/>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财政拨款收入</w:t>
                  </w:r>
                </w:p>
              </w:tc>
              <w:tc>
                <w:tcPr>
                  <w:tcW w:w="1510" w:type="dxa"/>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上级补助收入</w:t>
                  </w:r>
                </w:p>
              </w:tc>
              <w:tc>
                <w:tcPr>
                  <w:tcW w:w="1510" w:type="dxa"/>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事业收入</w:t>
                  </w:r>
                </w:p>
              </w:tc>
              <w:tc>
                <w:tcPr>
                  <w:tcW w:w="1510" w:type="dxa"/>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经营收入</w:t>
                  </w:r>
                </w:p>
              </w:tc>
              <w:tc>
                <w:tcPr>
                  <w:tcW w:w="1510" w:type="dxa"/>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附属单位上缴收入</w:t>
                  </w:r>
                </w:p>
              </w:tc>
              <w:tc>
                <w:tcPr>
                  <w:tcW w:w="1510" w:type="dxa"/>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其他收入</w:t>
                  </w:r>
                </w:p>
              </w:tc>
            </w:tr>
            <w:tr w:rsidR="0057447D">
              <w:trPr>
                <w:trHeight w:val="312"/>
              </w:trPr>
              <w:tc>
                <w:tcPr>
                  <w:tcW w:w="1168" w:type="dxa"/>
                  <w:vMerge w:val="restart"/>
                  <w:tcBorders>
                    <w:top w:val="nil"/>
                    <w:left w:val="single" w:sz="4" w:space="0" w:color="000000"/>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功能分类科目编码</w:t>
                  </w:r>
                </w:p>
              </w:tc>
              <w:tc>
                <w:tcPr>
                  <w:tcW w:w="3660" w:type="dxa"/>
                  <w:vMerge w:val="restar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科目名称</w:t>
                  </w: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r>
            <w:tr w:rsidR="0057447D">
              <w:trPr>
                <w:trHeight w:val="312"/>
              </w:trPr>
              <w:tc>
                <w:tcPr>
                  <w:tcW w:w="1168" w:type="dxa"/>
                  <w:vMerge/>
                  <w:tcBorders>
                    <w:top w:val="nil"/>
                    <w:left w:val="single" w:sz="4" w:space="0" w:color="000000"/>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3660" w:type="dxa"/>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r>
            <w:tr w:rsidR="0057447D">
              <w:trPr>
                <w:trHeight w:val="312"/>
              </w:trPr>
              <w:tc>
                <w:tcPr>
                  <w:tcW w:w="1168" w:type="dxa"/>
                  <w:vMerge/>
                  <w:tcBorders>
                    <w:top w:val="nil"/>
                    <w:left w:val="single" w:sz="4" w:space="0" w:color="000000"/>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3660" w:type="dxa"/>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510" w:type="dxa"/>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r>
            <w:tr w:rsidR="0057447D">
              <w:trPr>
                <w:trHeight w:val="308"/>
              </w:trPr>
              <w:tc>
                <w:tcPr>
                  <w:tcW w:w="4828" w:type="dxa"/>
                  <w:gridSpan w:val="2"/>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栏次</w:t>
                  </w:r>
                </w:p>
              </w:tc>
              <w:tc>
                <w:tcPr>
                  <w:tcW w:w="1510" w:type="dxa"/>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w:t>
                  </w:r>
                </w:p>
              </w:tc>
              <w:tc>
                <w:tcPr>
                  <w:tcW w:w="1510" w:type="dxa"/>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w:t>
                  </w:r>
                </w:p>
              </w:tc>
              <w:tc>
                <w:tcPr>
                  <w:tcW w:w="1510" w:type="dxa"/>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w:t>
                  </w:r>
                </w:p>
              </w:tc>
              <w:tc>
                <w:tcPr>
                  <w:tcW w:w="1510" w:type="dxa"/>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w:t>
                  </w:r>
                </w:p>
              </w:tc>
              <w:tc>
                <w:tcPr>
                  <w:tcW w:w="1510" w:type="dxa"/>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w:t>
                  </w:r>
                </w:p>
              </w:tc>
              <w:tc>
                <w:tcPr>
                  <w:tcW w:w="1510" w:type="dxa"/>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w:t>
                  </w:r>
                </w:p>
              </w:tc>
              <w:tc>
                <w:tcPr>
                  <w:tcW w:w="1510" w:type="dxa"/>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w:t>
                  </w:r>
                </w:p>
              </w:tc>
            </w:tr>
            <w:tr w:rsidR="0057447D">
              <w:trPr>
                <w:trHeight w:val="308"/>
              </w:trPr>
              <w:tc>
                <w:tcPr>
                  <w:tcW w:w="4828" w:type="dxa"/>
                  <w:gridSpan w:val="2"/>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合计</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918.48</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912.19</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6.29</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一般公共服务支出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35.00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35.00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20103</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政府办公厅（室）及相关机构事务</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2010399</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其他政府办公厅（室）及相关机构事务支出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20104</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发展与改革事务</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2010499</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其他发展与改革事务支出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社会保障和就业支出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55.51</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55.51</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20801</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人力资源和社会保障管理事务</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1.92</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1.92</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2080199</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其他人力资源和社会保障管理事务支出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1.92</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1.92</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行政事业单位养老支出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53.59</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53.59</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2080501</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行政单位离退休</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4.65</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4.65</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2080502</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事业单位离退休</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2080505</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机关事业单位基本养老保险缴费支出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46.44</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46.44</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卫生健康支出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783.14</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776.85</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6.29</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21011</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行政事业单位医疗</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20.32</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20.32</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2101101</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行政单位医疗</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4.55</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4.55</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2101102</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事业单位医疗</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15.77</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15.77</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医疗保障管理事务</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732.25</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725.96</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6.29</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2101501</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行政运行</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256.35</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250.06</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6.29</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2101502</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一般行政管理事务</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71.70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71.70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lastRenderedPageBreak/>
                    <w:t>2101505</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医疗保障政策管理</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2101550</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事业运行</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343.49</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343.49</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2101599</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其他医疗保障管理事务支出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30.71</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30.71</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21099</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其他卫生健康支出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2109901</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其他卫生健康支出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221</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住房保障支出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22102</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住房改革支出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2210201</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住房公积金</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234</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抗疫特别国债安排的支出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23402</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抗疫相关支出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168" w:type="dxa"/>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2340299</w:t>
                  </w:r>
                </w:p>
              </w:tc>
              <w:tc>
                <w:tcPr>
                  <w:tcW w:w="366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其他抗疫相关支出</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510" w:type="dxa"/>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5398" w:type="dxa"/>
                  <w:gridSpan w:val="9"/>
                  <w:tcBorders>
                    <w:top w:val="nil"/>
                    <w:left w:val="nil"/>
                    <w:bottom w:val="nil"/>
                    <w:right w:val="nil"/>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注：本表反映部门本年度取得的各项收入情况。</w:t>
                  </w:r>
                </w:p>
              </w:tc>
            </w:tr>
          </w:tbl>
          <w:p w:rsidR="0057447D" w:rsidRDefault="0057447D">
            <w:pPr>
              <w:jc w:val="center"/>
              <w:rPr>
                <w:rFonts w:ascii="华文中宋" w:eastAsia="华文中宋" w:hAnsi="华文中宋" w:cs="宋体"/>
                <w:color w:val="000000"/>
                <w:sz w:val="32"/>
                <w:szCs w:val="32"/>
                <w:shd w:val="clear" w:color="auto" w:fill="FFFFFF" w:themeFill="background1"/>
              </w:rPr>
            </w:pPr>
          </w:p>
        </w:tc>
      </w:tr>
      <w:tr w:rsidR="0057447D">
        <w:trPr>
          <w:trHeight w:val="28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57447D" w:rsidRDefault="0057447D">
            <w:pPr>
              <w:jc w:val="right"/>
              <w:rPr>
                <w:rFonts w:ascii="宋体" w:eastAsia="宋体" w:hAnsi="宋体" w:cs="宋体"/>
                <w:color w:val="000000"/>
                <w:sz w:val="20"/>
                <w:szCs w:val="20"/>
                <w:shd w:val="clear" w:color="auto" w:fill="FFFFFF" w:themeFill="background1"/>
              </w:rPr>
            </w:pPr>
          </w:p>
        </w:tc>
      </w:tr>
      <w:tr w:rsidR="0057447D">
        <w:trPr>
          <w:trHeight w:val="285"/>
        </w:trPr>
        <w:tc>
          <w:tcPr>
            <w:tcW w:w="0" w:type="auto"/>
            <w:gridSpan w:val="2"/>
            <w:tcBorders>
              <w:top w:val="nil"/>
              <w:left w:val="nil"/>
              <w:bottom w:val="nil"/>
              <w:right w:val="nil"/>
            </w:tcBorders>
            <w:shd w:val="clear" w:color="auto" w:fill="FFFFFF" w:themeFill="background1"/>
            <w:noWrap/>
            <w:tcMar>
              <w:top w:w="15" w:type="dxa"/>
              <w:left w:w="15" w:type="dxa"/>
              <w:bottom w:w="0" w:type="dxa"/>
              <w:right w:w="15" w:type="dxa"/>
            </w:tcMar>
            <w:vAlign w:val="center"/>
          </w:tcPr>
          <w:p w:rsidR="0057447D" w:rsidRDefault="0057447D">
            <w:pPr>
              <w:rPr>
                <w:rFonts w:ascii="宋体" w:eastAsia="宋体" w:hAnsi="宋体" w:cs="宋体"/>
                <w:color w:val="000000"/>
                <w:sz w:val="20"/>
                <w:szCs w:val="20"/>
                <w:shd w:val="clear" w:color="auto" w:fill="FFFFFF" w:themeFill="background1"/>
              </w:rPr>
            </w:pP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tcPr>
          <w:p w:rsidR="0057447D" w:rsidRDefault="0057447D">
            <w:pPr>
              <w:jc w:val="center"/>
              <w:rPr>
                <w:rFonts w:ascii="宋体" w:eastAsia="宋体" w:hAnsi="宋体" w:cs="宋体"/>
                <w:color w:val="000000"/>
                <w:sz w:val="20"/>
                <w:szCs w:val="20"/>
                <w:shd w:val="clear" w:color="auto" w:fill="FFFFFF" w:themeFill="background1"/>
              </w:rPr>
            </w:pP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tcPr>
          <w:p w:rsidR="0057447D" w:rsidRDefault="0057447D">
            <w:pPr>
              <w:jc w:val="right"/>
              <w:rPr>
                <w:rFonts w:ascii="宋体" w:eastAsia="宋体" w:hAnsi="宋体" w:cs="宋体"/>
                <w:sz w:val="24"/>
                <w:szCs w:val="24"/>
                <w:shd w:val="clear" w:color="auto" w:fill="FFFFFF" w:themeFill="background1"/>
              </w:rPr>
            </w:pP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tcPr>
          <w:p w:rsidR="0057447D" w:rsidRDefault="0057447D">
            <w:pPr>
              <w:jc w:val="right"/>
              <w:rPr>
                <w:rFonts w:ascii="宋体" w:eastAsia="宋体" w:hAnsi="宋体" w:cs="宋体"/>
                <w:color w:val="000000"/>
                <w:sz w:val="20"/>
                <w:szCs w:val="20"/>
                <w:shd w:val="clear" w:color="auto" w:fill="FFFFFF" w:themeFill="background1"/>
              </w:rPr>
            </w:pPr>
          </w:p>
        </w:tc>
      </w:tr>
    </w:tbl>
    <w:p w:rsidR="0057447D" w:rsidRDefault="0057447D">
      <w:pPr>
        <w:widowControl/>
        <w:jc w:val="left"/>
        <w:rPr>
          <w:rFonts w:ascii="Times New Roman" w:eastAsia="黑体" w:hAnsi="Times New Roman" w:cs="Times New Roman"/>
          <w:bCs/>
          <w:kern w:val="0"/>
          <w:sz w:val="32"/>
          <w:szCs w:val="32"/>
          <w:shd w:val="clear" w:color="auto" w:fill="FFFFFF" w:themeFill="background1"/>
        </w:rPr>
      </w:pPr>
    </w:p>
    <w:p w:rsidR="0057447D" w:rsidRDefault="0057447D">
      <w:pPr>
        <w:widowControl/>
        <w:rPr>
          <w:rFonts w:ascii="Times New Roman" w:eastAsia="方正小标宋_GBK" w:hAnsi="Times New Roman" w:cs="Times New Roman"/>
          <w:color w:val="000000"/>
          <w:kern w:val="0"/>
          <w:sz w:val="36"/>
          <w:szCs w:val="36"/>
          <w:shd w:val="clear" w:color="auto" w:fill="FFFFFF" w:themeFill="background1"/>
        </w:rPr>
      </w:pPr>
    </w:p>
    <w:p w:rsidR="0057447D" w:rsidRDefault="0057447D">
      <w:pPr>
        <w:widowControl/>
        <w:rPr>
          <w:rFonts w:ascii="Times New Roman" w:eastAsia="方正小标宋_GBK" w:hAnsi="Times New Roman" w:cs="Times New Roman"/>
          <w:color w:val="000000"/>
          <w:kern w:val="0"/>
          <w:sz w:val="36"/>
          <w:szCs w:val="36"/>
          <w:shd w:val="clear" w:color="auto" w:fill="FFFFFF" w:themeFill="background1"/>
        </w:rPr>
      </w:pPr>
    </w:p>
    <w:p w:rsidR="0057447D" w:rsidRDefault="0057447D">
      <w:pPr>
        <w:widowControl/>
        <w:rPr>
          <w:rFonts w:ascii="Times New Roman" w:eastAsia="方正小标宋_GBK" w:hAnsi="Times New Roman" w:cs="Times New Roman"/>
          <w:color w:val="000000"/>
          <w:kern w:val="0"/>
          <w:sz w:val="36"/>
          <w:szCs w:val="36"/>
          <w:shd w:val="clear" w:color="auto" w:fill="FFFFFF" w:themeFill="background1"/>
        </w:rPr>
      </w:pPr>
    </w:p>
    <w:p w:rsidR="0057447D" w:rsidRDefault="0057447D">
      <w:pPr>
        <w:widowControl/>
        <w:rPr>
          <w:rFonts w:ascii="Times New Roman" w:eastAsia="方正小标宋_GBK" w:hAnsi="Times New Roman" w:cs="Times New Roman"/>
          <w:color w:val="000000"/>
          <w:kern w:val="0"/>
          <w:sz w:val="36"/>
          <w:szCs w:val="36"/>
          <w:shd w:val="clear" w:color="auto" w:fill="FFFFFF" w:themeFill="background1"/>
        </w:rPr>
      </w:pPr>
    </w:p>
    <w:p w:rsidR="0057447D" w:rsidRDefault="0057447D">
      <w:pPr>
        <w:widowControl/>
        <w:rPr>
          <w:rFonts w:ascii="Times New Roman" w:eastAsia="方正小标宋_GBK" w:hAnsi="Times New Roman" w:cs="Times New Roman"/>
          <w:color w:val="000000"/>
          <w:kern w:val="0"/>
          <w:sz w:val="36"/>
          <w:szCs w:val="36"/>
          <w:shd w:val="clear" w:color="auto" w:fill="FFFFFF" w:themeFill="background1"/>
        </w:rPr>
      </w:pPr>
    </w:p>
    <w:p w:rsidR="0057447D" w:rsidRDefault="0057447D">
      <w:pPr>
        <w:widowControl/>
        <w:rPr>
          <w:rFonts w:ascii="Times New Roman" w:eastAsia="方正小标宋_GBK" w:hAnsi="Times New Roman" w:cs="Times New Roman"/>
          <w:color w:val="000000"/>
          <w:kern w:val="0"/>
          <w:sz w:val="36"/>
          <w:szCs w:val="36"/>
          <w:shd w:val="clear" w:color="auto" w:fill="FFFFFF" w:themeFill="background1"/>
        </w:rPr>
      </w:pPr>
    </w:p>
    <w:p w:rsidR="0057447D" w:rsidRDefault="0057447D">
      <w:pPr>
        <w:widowControl/>
        <w:rPr>
          <w:rFonts w:ascii="Times New Roman" w:eastAsia="方正小标宋_GBK" w:hAnsi="Times New Roman" w:cs="Times New Roman"/>
          <w:color w:val="000000"/>
          <w:kern w:val="0"/>
          <w:sz w:val="36"/>
          <w:szCs w:val="36"/>
          <w:shd w:val="clear" w:color="auto" w:fill="FFFFFF" w:themeFill="background1"/>
        </w:rPr>
      </w:pPr>
    </w:p>
    <w:p w:rsidR="0057447D" w:rsidRDefault="0057447D">
      <w:pPr>
        <w:widowControl/>
        <w:rPr>
          <w:rFonts w:ascii="Times New Roman" w:eastAsia="方正小标宋_GBK" w:hAnsi="Times New Roman" w:cs="Times New Roman"/>
          <w:color w:val="000000"/>
          <w:kern w:val="0"/>
          <w:sz w:val="36"/>
          <w:szCs w:val="36"/>
          <w:shd w:val="clear" w:color="auto" w:fill="FFFFFF" w:themeFill="background1"/>
        </w:rPr>
      </w:pPr>
    </w:p>
    <w:tbl>
      <w:tblPr>
        <w:tblW w:w="0" w:type="auto"/>
        <w:tblInd w:w="93" w:type="dxa"/>
        <w:tblLook w:val="04A0"/>
      </w:tblPr>
      <w:tblGrid>
        <w:gridCol w:w="659"/>
        <w:gridCol w:w="659"/>
        <w:gridCol w:w="659"/>
        <w:gridCol w:w="4396"/>
        <w:gridCol w:w="1536"/>
        <w:gridCol w:w="1096"/>
        <w:gridCol w:w="1096"/>
        <w:gridCol w:w="1536"/>
        <w:gridCol w:w="1096"/>
        <w:gridCol w:w="2196"/>
      </w:tblGrid>
      <w:tr w:rsidR="0057447D">
        <w:trPr>
          <w:gridAfter w:val="1"/>
          <w:trHeight w:val="435"/>
        </w:trPr>
        <w:tc>
          <w:tcPr>
            <w:tcW w:w="0" w:type="auto"/>
            <w:gridSpan w:val="9"/>
            <w:tcBorders>
              <w:top w:val="nil"/>
              <w:left w:val="nil"/>
              <w:bottom w:val="nil"/>
              <w:right w:val="nil"/>
            </w:tcBorders>
            <w:shd w:val="clear" w:color="auto" w:fill="auto"/>
            <w:noWrap/>
            <w:vAlign w:val="center"/>
          </w:tcPr>
          <w:p w:rsidR="0057447D" w:rsidRDefault="007A4AFA">
            <w:pPr>
              <w:widowControl/>
              <w:jc w:val="center"/>
              <w:rPr>
                <w:rFonts w:ascii="华文中宋" w:eastAsia="华文中宋" w:hAnsi="华文中宋" w:cs="宋体"/>
                <w:color w:val="000000"/>
                <w:kern w:val="0"/>
                <w:sz w:val="32"/>
                <w:szCs w:val="32"/>
                <w:shd w:val="clear" w:color="auto" w:fill="FFFFFF" w:themeFill="background1"/>
              </w:rPr>
            </w:pPr>
            <w:r>
              <w:rPr>
                <w:rFonts w:ascii="华文中宋" w:eastAsia="华文中宋" w:hAnsi="华文中宋" w:cs="宋体" w:hint="eastAsia"/>
                <w:color w:val="000000"/>
                <w:kern w:val="0"/>
                <w:sz w:val="32"/>
                <w:szCs w:val="32"/>
                <w:shd w:val="clear" w:color="auto" w:fill="FFFFFF" w:themeFill="background1"/>
              </w:rPr>
              <w:lastRenderedPageBreak/>
              <w:t>支出决算表</w:t>
            </w:r>
          </w:p>
        </w:tc>
      </w:tr>
      <w:tr w:rsidR="0057447D">
        <w:trPr>
          <w:trHeight w:val="255"/>
        </w:trPr>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7A4AFA">
            <w:pPr>
              <w:widowControl/>
              <w:jc w:val="righ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公开03表</w:t>
            </w:r>
          </w:p>
        </w:tc>
      </w:tr>
      <w:tr w:rsidR="0057447D">
        <w:trPr>
          <w:trHeight w:val="255"/>
        </w:trPr>
        <w:tc>
          <w:tcPr>
            <w:tcW w:w="0" w:type="auto"/>
            <w:gridSpan w:val="4"/>
            <w:tcBorders>
              <w:top w:val="nil"/>
              <w:left w:val="nil"/>
              <w:bottom w:val="nil"/>
              <w:right w:val="nil"/>
            </w:tcBorders>
            <w:shd w:val="clear" w:color="auto" w:fill="auto"/>
            <w:noWrap/>
            <w:vAlign w:val="bottom"/>
          </w:tcPr>
          <w:p w:rsidR="0057447D" w:rsidRDefault="007A4AFA">
            <w:pPr>
              <w:widowControl/>
              <w:jc w:val="lef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部门：湘西州医疗保障局</w:t>
            </w: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0" w:type="auto"/>
            <w:tcBorders>
              <w:top w:val="nil"/>
              <w:left w:val="nil"/>
              <w:bottom w:val="nil"/>
              <w:right w:val="nil"/>
            </w:tcBorders>
            <w:shd w:val="clear" w:color="auto" w:fill="auto"/>
            <w:noWrap/>
            <w:vAlign w:val="bottom"/>
          </w:tcPr>
          <w:p w:rsidR="0057447D" w:rsidRDefault="007A4AFA">
            <w:pPr>
              <w:widowControl/>
              <w:jc w:val="righ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金额单位：万元</w:t>
            </w:r>
          </w:p>
        </w:tc>
      </w:tr>
      <w:tr w:rsidR="0057447D">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项目</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本年支出合计</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基本支出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项目支出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上缴上级支出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经营支出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对附属单位补助支出</w:t>
            </w:r>
          </w:p>
        </w:tc>
      </w:tr>
      <w:tr w:rsidR="0057447D">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科目名称</w:t>
            </w: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r>
      <w:tr w:rsidR="0057447D">
        <w:trPr>
          <w:trHeight w:val="312"/>
        </w:trPr>
        <w:tc>
          <w:tcPr>
            <w:tcW w:w="0" w:type="auto"/>
            <w:gridSpan w:val="3"/>
            <w:vMerge/>
            <w:tcBorders>
              <w:top w:val="nil"/>
              <w:left w:val="single" w:sz="4" w:space="0" w:color="000000"/>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r>
      <w:tr w:rsidR="0057447D">
        <w:trPr>
          <w:trHeight w:val="312"/>
        </w:trPr>
        <w:tc>
          <w:tcPr>
            <w:tcW w:w="0" w:type="auto"/>
            <w:gridSpan w:val="3"/>
            <w:vMerge/>
            <w:tcBorders>
              <w:top w:val="nil"/>
              <w:left w:val="single" w:sz="4" w:space="0" w:color="000000"/>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0" w:type="auto"/>
            <w:vMerge/>
            <w:tcBorders>
              <w:top w:val="single" w:sz="4" w:space="0" w:color="000000"/>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r>
      <w:tr w:rsidR="0057447D">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栏次</w:t>
            </w:r>
          </w:p>
        </w:tc>
        <w:tc>
          <w:tcPr>
            <w:tcW w:w="0" w:type="auto"/>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w:t>
            </w:r>
          </w:p>
        </w:tc>
        <w:tc>
          <w:tcPr>
            <w:tcW w:w="0" w:type="auto"/>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w:t>
            </w:r>
          </w:p>
        </w:tc>
        <w:tc>
          <w:tcPr>
            <w:tcW w:w="0" w:type="auto"/>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w:t>
            </w:r>
          </w:p>
        </w:tc>
        <w:tc>
          <w:tcPr>
            <w:tcW w:w="0" w:type="auto"/>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w:t>
            </w:r>
          </w:p>
        </w:tc>
        <w:tc>
          <w:tcPr>
            <w:tcW w:w="0" w:type="auto"/>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w:t>
            </w:r>
          </w:p>
        </w:tc>
        <w:tc>
          <w:tcPr>
            <w:tcW w:w="0" w:type="auto"/>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w:t>
            </w:r>
          </w:p>
        </w:tc>
      </w:tr>
      <w:tr w:rsidR="0057447D">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合计</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894.68</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743.90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150.78</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一般公共服务支出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17.11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17.11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20103</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政府办公厅（室）及相关机构事务</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2010399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其他政府办公厅（室）及相关机构事务支出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20104</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发展与改革事务</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2010499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其他发展与改革事务支出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63.89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63.89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人力资源和社会保障管理事务</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10.30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10.30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2080109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社会保险经办机构</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8.38</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8.38</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2080199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其他人力资源和社会保障管理事务支出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1.92</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1.92</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53.59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53.59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2080501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行政单位离退休</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4.65</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4.65</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2080502</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事业单位离退休</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2080505</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46.44</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46.44</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卫生健康支出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768.85</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645.18</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123.67</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行政事业单位医疗</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20.32</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20.32</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2101101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行政单位医疗</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4.55</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4.55</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2101102</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事业单位医疗</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15.77</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15.77</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医疗保障管理事务</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717.96</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594.29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123.67</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2101501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行政运行</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248.51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248.51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2101502</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一般行政管理事务</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71.70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71.70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2101505</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医疗保障政策管理</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29.66</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29.66</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2101550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事业运行</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335.06</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335.06</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lastRenderedPageBreak/>
              <w:t>2101599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其他医疗保障管理事务支出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33.03</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10.71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22.32</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21099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其他卫生健康支出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2109901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其他卫生健康支出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住房保障支出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22102</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住房改革支出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2210201</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住房公积金</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234</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抗疫特别国债安排的支出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23402</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抗疫相关支出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2340299</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其他抗疫相关支出</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0" w:type="auto"/>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0" w:type="auto"/>
            <w:gridSpan w:val="10"/>
            <w:tcBorders>
              <w:top w:val="nil"/>
              <w:left w:val="nil"/>
              <w:bottom w:val="nil"/>
              <w:right w:val="nil"/>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注：本表反映部门本年度各项支出情况。</w:t>
            </w:r>
          </w:p>
        </w:tc>
      </w:tr>
    </w:tbl>
    <w:p w:rsidR="0057447D" w:rsidRDefault="0057447D">
      <w:pPr>
        <w:widowControl/>
        <w:ind w:left="93"/>
        <w:jc w:val="center"/>
        <w:rPr>
          <w:rFonts w:ascii="Times New Roman" w:eastAsia="方正小标宋_GBK" w:hAnsi="Times New Roman" w:cs="Times New Roman"/>
          <w:color w:val="000000"/>
          <w:kern w:val="0"/>
          <w:sz w:val="36"/>
          <w:szCs w:val="21"/>
          <w:shd w:val="clear" w:color="auto" w:fill="FFFFFF" w:themeFill="background1"/>
        </w:rPr>
      </w:pPr>
    </w:p>
    <w:p w:rsidR="0057447D" w:rsidRDefault="0057447D">
      <w:pPr>
        <w:widowControl/>
        <w:ind w:left="93"/>
        <w:jc w:val="center"/>
        <w:rPr>
          <w:rFonts w:ascii="Times New Roman" w:eastAsia="方正小标宋_GBK" w:hAnsi="Times New Roman" w:cs="Times New Roman"/>
          <w:color w:val="000000"/>
          <w:kern w:val="0"/>
          <w:sz w:val="36"/>
          <w:szCs w:val="21"/>
          <w:shd w:val="clear" w:color="auto" w:fill="FFFFFF" w:themeFill="background1"/>
        </w:rPr>
      </w:pPr>
    </w:p>
    <w:p w:rsidR="0057447D" w:rsidRDefault="0057447D">
      <w:pPr>
        <w:widowControl/>
        <w:ind w:left="93"/>
        <w:jc w:val="center"/>
        <w:rPr>
          <w:rFonts w:ascii="Times New Roman" w:eastAsia="方正小标宋_GBK" w:hAnsi="Times New Roman" w:cs="Times New Roman"/>
          <w:color w:val="000000"/>
          <w:kern w:val="0"/>
          <w:sz w:val="36"/>
          <w:szCs w:val="21"/>
          <w:shd w:val="clear" w:color="auto" w:fill="FFFFFF" w:themeFill="background1"/>
        </w:rPr>
      </w:pPr>
    </w:p>
    <w:p w:rsidR="0057447D" w:rsidRDefault="0057447D">
      <w:pPr>
        <w:widowControl/>
        <w:ind w:left="93"/>
        <w:jc w:val="center"/>
        <w:rPr>
          <w:rFonts w:ascii="Times New Roman" w:eastAsia="方正小标宋_GBK" w:hAnsi="Times New Roman" w:cs="Times New Roman"/>
          <w:color w:val="000000"/>
          <w:kern w:val="0"/>
          <w:sz w:val="36"/>
          <w:szCs w:val="21"/>
          <w:shd w:val="clear" w:color="auto" w:fill="FFFFFF" w:themeFill="background1"/>
        </w:rPr>
      </w:pPr>
    </w:p>
    <w:p w:rsidR="0057447D" w:rsidRDefault="0057447D">
      <w:pPr>
        <w:widowControl/>
        <w:ind w:left="93"/>
        <w:jc w:val="center"/>
        <w:rPr>
          <w:rFonts w:ascii="Times New Roman" w:eastAsia="方正小标宋_GBK" w:hAnsi="Times New Roman" w:cs="Times New Roman"/>
          <w:color w:val="000000"/>
          <w:kern w:val="0"/>
          <w:sz w:val="36"/>
          <w:szCs w:val="21"/>
          <w:shd w:val="clear" w:color="auto" w:fill="FFFFFF" w:themeFill="background1"/>
        </w:rPr>
      </w:pPr>
    </w:p>
    <w:p w:rsidR="0057447D" w:rsidRDefault="0057447D">
      <w:pPr>
        <w:widowControl/>
        <w:ind w:left="93"/>
        <w:jc w:val="center"/>
        <w:rPr>
          <w:rFonts w:ascii="Times New Roman" w:eastAsia="方正小标宋_GBK" w:hAnsi="Times New Roman" w:cs="Times New Roman"/>
          <w:color w:val="000000"/>
          <w:kern w:val="0"/>
          <w:sz w:val="36"/>
          <w:szCs w:val="21"/>
          <w:shd w:val="clear" w:color="auto" w:fill="FFFFFF" w:themeFill="background1"/>
        </w:rPr>
      </w:pPr>
    </w:p>
    <w:p w:rsidR="0057447D" w:rsidRDefault="0057447D">
      <w:pPr>
        <w:widowControl/>
        <w:ind w:left="93"/>
        <w:jc w:val="center"/>
        <w:rPr>
          <w:rFonts w:ascii="Times New Roman" w:eastAsia="方正小标宋_GBK" w:hAnsi="Times New Roman" w:cs="Times New Roman"/>
          <w:color w:val="000000"/>
          <w:kern w:val="0"/>
          <w:sz w:val="36"/>
          <w:szCs w:val="21"/>
          <w:shd w:val="clear" w:color="auto" w:fill="FFFFFF" w:themeFill="background1"/>
        </w:rPr>
      </w:pPr>
    </w:p>
    <w:p w:rsidR="0057447D" w:rsidRDefault="0057447D">
      <w:pPr>
        <w:widowControl/>
        <w:ind w:left="93"/>
        <w:jc w:val="center"/>
        <w:rPr>
          <w:rFonts w:ascii="Times New Roman" w:eastAsia="方正小标宋_GBK" w:hAnsi="Times New Roman" w:cs="Times New Roman"/>
          <w:color w:val="000000"/>
          <w:kern w:val="0"/>
          <w:sz w:val="36"/>
          <w:szCs w:val="21"/>
          <w:shd w:val="clear" w:color="auto" w:fill="FFFFFF" w:themeFill="background1"/>
        </w:rPr>
      </w:pPr>
    </w:p>
    <w:p w:rsidR="0057447D" w:rsidRDefault="0057447D">
      <w:pPr>
        <w:widowControl/>
        <w:ind w:left="93"/>
        <w:jc w:val="center"/>
        <w:rPr>
          <w:rFonts w:ascii="Times New Roman" w:eastAsia="方正小标宋_GBK" w:hAnsi="Times New Roman" w:cs="Times New Roman"/>
          <w:color w:val="000000"/>
          <w:kern w:val="0"/>
          <w:sz w:val="36"/>
          <w:szCs w:val="21"/>
          <w:shd w:val="clear" w:color="auto" w:fill="FFFFFF" w:themeFill="background1"/>
        </w:rPr>
      </w:pPr>
    </w:p>
    <w:p w:rsidR="0057447D" w:rsidRDefault="0057447D">
      <w:pPr>
        <w:widowControl/>
        <w:ind w:left="93"/>
        <w:jc w:val="center"/>
        <w:rPr>
          <w:rFonts w:ascii="Times New Roman" w:eastAsia="方正小标宋_GBK" w:hAnsi="Times New Roman" w:cs="Times New Roman"/>
          <w:color w:val="000000"/>
          <w:kern w:val="0"/>
          <w:sz w:val="36"/>
          <w:szCs w:val="21"/>
          <w:shd w:val="clear" w:color="auto" w:fill="FFFFFF" w:themeFill="background1"/>
        </w:rPr>
      </w:pPr>
    </w:p>
    <w:p w:rsidR="0057447D" w:rsidRDefault="0057447D">
      <w:pPr>
        <w:widowControl/>
        <w:ind w:left="93"/>
        <w:jc w:val="center"/>
        <w:rPr>
          <w:rFonts w:ascii="Times New Roman" w:eastAsia="方正小标宋_GBK" w:hAnsi="Times New Roman" w:cs="Times New Roman"/>
          <w:color w:val="000000"/>
          <w:kern w:val="0"/>
          <w:sz w:val="36"/>
          <w:szCs w:val="21"/>
          <w:shd w:val="clear" w:color="auto" w:fill="FFFFFF" w:themeFill="background1"/>
        </w:rPr>
      </w:pPr>
    </w:p>
    <w:tbl>
      <w:tblPr>
        <w:tblW w:w="5000" w:type="pct"/>
        <w:tblLook w:val="04A0"/>
      </w:tblPr>
      <w:tblGrid>
        <w:gridCol w:w="3224"/>
        <w:gridCol w:w="663"/>
        <w:gridCol w:w="1096"/>
        <w:gridCol w:w="1744"/>
        <w:gridCol w:w="1747"/>
        <w:gridCol w:w="663"/>
        <w:gridCol w:w="1095"/>
        <w:gridCol w:w="2096"/>
        <w:gridCol w:w="1829"/>
        <w:gridCol w:w="1457"/>
      </w:tblGrid>
      <w:tr w:rsidR="0057447D">
        <w:trPr>
          <w:trHeight w:val="285"/>
        </w:trPr>
        <w:tc>
          <w:tcPr>
            <w:tcW w:w="991" w:type="pct"/>
            <w:tcBorders>
              <w:top w:val="nil"/>
              <w:left w:val="nil"/>
              <w:bottom w:val="nil"/>
              <w:right w:val="nil"/>
            </w:tcBorders>
            <w:shd w:val="clear" w:color="auto" w:fill="auto"/>
            <w:noWrap/>
            <w:vAlign w:val="center"/>
          </w:tcPr>
          <w:p w:rsidR="0057447D" w:rsidRDefault="0057447D">
            <w:pPr>
              <w:widowControl/>
              <w:jc w:val="left"/>
              <w:rPr>
                <w:rFonts w:ascii="黑体" w:eastAsia="黑体" w:hAnsi="黑体" w:cs="宋体"/>
                <w:kern w:val="0"/>
                <w:sz w:val="24"/>
                <w:szCs w:val="24"/>
                <w:shd w:val="clear" w:color="auto" w:fill="FFFFFF" w:themeFill="background1"/>
              </w:rPr>
            </w:pPr>
            <w:bookmarkStart w:id="0" w:name="RANGE!A1:I22"/>
            <w:bookmarkStart w:id="1" w:name="RANGE!A1:F16"/>
            <w:bookmarkEnd w:id="0"/>
          </w:p>
        </w:tc>
        <w:tc>
          <w:tcPr>
            <w:tcW w:w="211" w:type="pct"/>
            <w:tcBorders>
              <w:top w:val="nil"/>
              <w:left w:val="nil"/>
              <w:bottom w:val="nil"/>
              <w:right w:val="nil"/>
            </w:tcBorders>
            <w:shd w:val="clear" w:color="auto" w:fill="auto"/>
            <w:noWrap/>
            <w:vAlign w:val="center"/>
          </w:tcPr>
          <w:p w:rsidR="0057447D" w:rsidRDefault="0057447D">
            <w:pPr>
              <w:widowControl/>
              <w:jc w:val="right"/>
              <w:rPr>
                <w:rFonts w:ascii="宋体" w:eastAsia="宋体" w:hAnsi="宋体" w:cs="宋体"/>
                <w:kern w:val="0"/>
                <w:sz w:val="24"/>
                <w:szCs w:val="24"/>
                <w:shd w:val="clear" w:color="auto" w:fill="FFFFFF" w:themeFill="background1"/>
              </w:rPr>
            </w:pPr>
          </w:p>
        </w:tc>
        <w:tc>
          <w:tcPr>
            <w:tcW w:w="353" w:type="pct"/>
            <w:tcBorders>
              <w:top w:val="nil"/>
              <w:left w:val="nil"/>
              <w:bottom w:val="nil"/>
              <w:right w:val="nil"/>
            </w:tcBorders>
            <w:shd w:val="clear" w:color="auto" w:fill="auto"/>
            <w:noWrap/>
            <w:vAlign w:val="center"/>
          </w:tcPr>
          <w:p w:rsidR="0057447D" w:rsidRDefault="0057447D">
            <w:pPr>
              <w:widowControl/>
              <w:jc w:val="right"/>
              <w:rPr>
                <w:rFonts w:ascii="宋体" w:eastAsia="宋体" w:hAnsi="宋体" w:cs="宋体"/>
                <w:kern w:val="0"/>
                <w:sz w:val="24"/>
                <w:szCs w:val="24"/>
                <w:shd w:val="clear" w:color="auto" w:fill="FFFFFF" w:themeFill="background1"/>
              </w:rPr>
            </w:pPr>
          </w:p>
        </w:tc>
        <w:tc>
          <w:tcPr>
            <w:tcW w:w="566" w:type="pct"/>
            <w:tcBorders>
              <w:top w:val="nil"/>
              <w:left w:val="nil"/>
              <w:bottom w:val="nil"/>
              <w:right w:val="nil"/>
            </w:tcBorders>
            <w:shd w:val="clear" w:color="auto" w:fill="auto"/>
            <w:noWrap/>
            <w:vAlign w:val="center"/>
          </w:tcPr>
          <w:p w:rsidR="0057447D" w:rsidRDefault="0057447D">
            <w:pPr>
              <w:widowControl/>
              <w:jc w:val="right"/>
              <w:rPr>
                <w:rFonts w:ascii="宋体" w:eastAsia="宋体" w:hAnsi="宋体" w:cs="宋体"/>
                <w:kern w:val="0"/>
                <w:sz w:val="24"/>
                <w:szCs w:val="24"/>
                <w:shd w:val="clear" w:color="auto" w:fill="FFFFFF" w:themeFill="background1"/>
              </w:rPr>
            </w:pPr>
          </w:p>
        </w:tc>
        <w:tc>
          <w:tcPr>
            <w:tcW w:w="566" w:type="pct"/>
            <w:tcBorders>
              <w:top w:val="nil"/>
              <w:left w:val="nil"/>
              <w:bottom w:val="nil"/>
              <w:right w:val="nil"/>
            </w:tcBorders>
            <w:shd w:val="clear" w:color="auto" w:fill="auto"/>
            <w:noWrap/>
            <w:vAlign w:val="center"/>
          </w:tcPr>
          <w:p w:rsidR="0057447D" w:rsidRDefault="0057447D">
            <w:pPr>
              <w:widowControl/>
              <w:jc w:val="right"/>
              <w:rPr>
                <w:rFonts w:ascii="宋体" w:eastAsia="宋体" w:hAnsi="宋体" w:cs="宋体"/>
                <w:kern w:val="0"/>
                <w:sz w:val="24"/>
                <w:szCs w:val="24"/>
                <w:shd w:val="clear" w:color="auto" w:fill="FFFFFF" w:themeFill="background1"/>
              </w:rPr>
            </w:pPr>
          </w:p>
        </w:tc>
        <w:tc>
          <w:tcPr>
            <w:tcW w:w="211" w:type="pct"/>
            <w:tcBorders>
              <w:top w:val="nil"/>
              <w:left w:val="nil"/>
              <w:bottom w:val="nil"/>
              <w:right w:val="nil"/>
            </w:tcBorders>
            <w:shd w:val="clear" w:color="auto" w:fill="auto"/>
            <w:noWrap/>
            <w:vAlign w:val="center"/>
          </w:tcPr>
          <w:p w:rsidR="0057447D" w:rsidRDefault="0057447D">
            <w:pPr>
              <w:widowControl/>
              <w:jc w:val="right"/>
              <w:rPr>
                <w:rFonts w:ascii="宋体" w:eastAsia="宋体" w:hAnsi="宋体" w:cs="宋体"/>
                <w:kern w:val="0"/>
                <w:sz w:val="24"/>
                <w:szCs w:val="24"/>
                <w:shd w:val="clear" w:color="auto" w:fill="FFFFFF" w:themeFill="background1"/>
              </w:rPr>
            </w:pPr>
          </w:p>
        </w:tc>
        <w:tc>
          <w:tcPr>
            <w:tcW w:w="353" w:type="pct"/>
            <w:tcBorders>
              <w:top w:val="nil"/>
              <w:left w:val="nil"/>
              <w:bottom w:val="nil"/>
              <w:right w:val="nil"/>
            </w:tcBorders>
            <w:shd w:val="clear" w:color="auto" w:fill="auto"/>
            <w:noWrap/>
            <w:vAlign w:val="center"/>
          </w:tcPr>
          <w:p w:rsidR="0057447D" w:rsidRDefault="0057447D">
            <w:pPr>
              <w:widowControl/>
              <w:jc w:val="right"/>
              <w:rPr>
                <w:rFonts w:ascii="宋体" w:eastAsia="宋体" w:hAnsi="宋体" w:cs="宋体"/>
                <w:kern w:val="0"/>
                <w:sz w:val="24"/>
                <w:szCs w:val="24"/>
                <w:shd w:val="clear" w:color="auto" w:fill="FFFFFF" w:themeFill="background1"/>
              </w:rPr>
            </w:pPr>
          </w:p>
        </w:tc>
        <w:tc>
          <w:tcPr>
            <w:tcW w:w="1275" w:type="pct"/>
            <w:gridSpan w:val="2"/>
            <w:tcBorders>
              <w:top w:val="nil"/>
              <w:left w:val="nil"/>
              <w:bottom w:val="nil"/>
              <w:right w:val="nil"/>
            </w:tcBorders>
            <w:shd w:val="clear" w:color="auto" w:fill="auto"/>
            <w:noWrap/>
            <w:vAlign w:val="center"/>
          </w:tcPr>
          <w:p w:rsidR="0057447D" w:rsidRDefault="0057447D">
            <w:pPr>
              <w:widowControl/>
              <w:jc w:val="right"/>
              <w:rPr>
                <w:rFonts w:ascii="宋体" w:eastAsia="宋体" w:hAnsi="宋体" w:cs="宋体"/>
                <w:kern w:val="0"/>
                <w:sz w:val="24"/>
                <w:szCs w:val="24"/>
                <w:shd w:val="clear" w:color="auto" w:fill="FFFFFF" w:themeFill="background1"/>
              </w:rPr>
            </w:pPr>
          </w:p>
        </w:tc>
        <w:tc>
          <w:tcPr>
            <w:tcW w:w="472" w:type="pct"/>
            <w:tcBorders>
              <w:top w:val="nil"/>
              <w:left w:val="nil"/>
              <w:bottom w:val="nil"/>
              <w:right w:val="nil"/>
            </w:tcBorders>
            <w:shd w:val="clear" w:color="auto" w:fill="auto"/>
            <w:noWrap/>
            <w:vAlign w:val="center"/>
          </w:tcPr>
          <w:p w:rsidR="0057447D" w:rsidRDefault="0057447D">
            <w:pPr>
              <w:widowControl/>
              <w:jc w:val="right"/>
              <w:rPr>
                <w:rFonts w:ascii="宋体" w:eastAsia="宋体" w:hAnsi="宋体" w:cs="宋体"/>
                <w:kern w:val="0"/>
                <w:sz w:val="24"/>
                <w:szCs w:val="24"/>
                <w:shd w:val="clear" w:color="auto" w:fill="FFFFFF" w:themeFill="background1"/>
              </w:rPr>
            </w:pPr>
          </w:p>
        </w:tc>
      </w:tr>
      <w:tr w:rsidR="0057447D">
        <w:trPr>
          <w:trHeight w:val="360"/>
        </w:trPr>
        <w:tc>
          <w:tcPr>
            <w:tcW w:w="5000" w:type="pct"/>
            <w:gridSpan w:val="10"/>
            <w:tcBorders>
              <w:top w:val="nil"/>
              <w:left w:val="nil"/>
              <w:bottom w:val="nil"/>
              <w:right w:val="nil"/>
            </w:tcBorders>
            <w:shd w:val="clear" w:color="auto" w:fill="auto"/>
            <w:noWrap/>
            <w:vAlign w:val="center"/>
          </w:tcPr>
          <w:p w:rsidR="0057447D" w:rsidRDefault="007A4AFA">
            <w:pPr>
              <w:widowControl/>
              <w:jc w:val="center"/>
              <w:rPr>
                <w:rFonts w:ascii="华文中宋" w:eastAsia="华文中宋" w:hAnsi="华文中宋" w:cs="宋体"/>
                <w:color w:val="000000"/>
                <w:kern w:val="0"/>
                <w:sz w:val="32"/>
                <w:szCs w:val="32"/>
                <w:shd w:val="clear" w:color="auto" w:fill="FFFFFF" w:themeFill="background1"/>
              </w:rPr>
            </w:pPr>
            <w:r>
              <w:rPr>
                <w:rFonts w:ascii="华文中宋" w:eastAsia="华文中宋" w:hAnsi="华文中宋" w:cs="宋体" w:hint="eastAsia"/>
                <w:color w:val="000000"/>
                <w:kern w:val="0"/>
                <w:sz w:val="32"/>
                <w:szCs w:val="32"/>
                <w:shd w:val="clear" w:color="auto" w:fill="FFFFFF" w:themeFill="background1"/>
              </w:rPr>
              <w:lastRenderedPageBreak/>
              <w:t>财政拨款收入支出决算总表</w:t>
            </w:r>
          </w:p>
          <w:tbl>
            <w:tblPr>
              <w:tblW w:w="16620" w:type="dxa"/>
              <w:tblLook w:val="04A0"/>
            </w:tblPr>
            <w:tblGrid>
              <w:gridCol w:w="3025"/>
              <w:gridCol w:w="550"/>
              <w:gridCol w:w="1558"/>
              <w:gridCol w:w="3373"/>
              <w:gridCol w:w="550"/>
              <w:gridCol w:w="1558"/>
              <w:gridCol w:w="1558"/>
              <w:gridCol w:w="1558"/>
              <w:gridCol w:w="1668"/>
            </w:tblGrid>
            <w:tr w:rsidR="0057447D">
              <w:trPr>
                <w:trHeight w:val="255"/>
              </w:trPr>
              <w:tc>
                <w:tcPr>
                  <w:tcW w:w="32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5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6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366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5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6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6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6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800" w:type="dxa"/>
                  <w:tcBorders>
                    <w:top w:val="nil"/>
                    <w:left w:val="nil"/>
                    <w:bottom w:val="nil"/>
                    <w:right w:val="nil"/>
                  </w:tcBorders>
                  <w:shd w:val="clear" w:color="auto" w:fill="auto"/>
                  <w:noWrap/>
                  <w:vAlign w:val="bottom"/>
                </w:tcPr>
                <w:p w:rsidR="0057447D" w:rsidRDefault="007A4AFA">
                  <w:pPr>
                    <w:widowControl/>
                    <w:jc w:val="righ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公开04表</w:t>
                  </w:r>
                </w:p>
              </w:tc>
            </w:tr>
            <w:tr w:rsidR="0057447D">
              <w:trPr>
                <w:trHeight w:val="255"/>
              </w:trPr>
              <w:tc>
                <w:tcPr>
                  <w:tcW w:w="3280" w:type="dxa"/>
                  <w:tcBorders>
                    <w:top w:val="nil"/>
                    <w:left w:val="nil"/>
                    <w:bottom w:val="nil"/>
                    <w:right w:val="nil"/>
                  </w:tcBorders>
                  <w:shd w:val="clear" w:color="auto" w:fill="auto"/>
                  <w:noWrap/>
                  <w:vAlign w:val="bottom"/>
                </w:tcPr>
                <w:p w:rsidR="0057447D" w:rsidRDefault="007A4AFA">
                  <w:pPr>
                    <w:widowControl/>
                    <w:jc w:val="lef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部门：湘西州医疗保障局</w:t>
                  </w:r>
                </w:p>
              </w:tc>
              <w:tc>
                <w:tcPr>
                  <w:tcW w:w="5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6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366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5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6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6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68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800" w:type="dxa"/>
                  <w:tcBorders>
                    <w:top w:val="nil"/>
                    <w:left w:val="nil"/>
                    <w:bottom w:val="nil"/>
                    <w:right w:val="nil"/>
                  </w:tcBorders>
                  <w:shd w:val="clear" w:color="auto" w:fill="auto"/>
                  <w:noWrap/>
                  <w:vAlign w:val="bottom"/>
                </w:tcPr>
                <w:p w:rsidR="0057447D" w:rsidRDefault="007A4AFA">
                  <w:pPr>
                    <w:widowControl/>
                    <w:jc w:val="righ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金额单位：万元</w:t>
                  </w:r>
                </w:p>
              </w:tc>
            </w:tr>
          </w:tbl>
          <w:p w:rsidR="0057447D" w:rsidRDefault="0057447D">
            <w:pPr>
              <w:widowControl/>
              <w:jc w:val="center"/>
              <w:rPr>
                <w:rFonts w:ascii="华文中宋" w:eastAsia="华文中宋" w:hAnsi="华文中宋" w:cs="宋体"/>
                <w:color w:val="000000"/>
                <w:kern w:val="0"/>
                <w:sz w:val="32"/>
                <w:szCs w:val="32"/>
                <w:shd w:val="clear" w:color="auto" w:fill="FFFFFF" w:themeFill="background1"/>
              </w:rPr>
            </w:pPr>
          </w:p>
        </w:tc>
      </w:tr>
      <w:tr w:rsidR="0057447D">
        <w:trPr>
          <w:trHeight w:val="308"/>
        </w:trPr>
        <w:tc>
          <w:tcPr>
            <w:tcW w:w="1555"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收入</w:t>
            </w:r>
          </w:p>
        </w:tc>
        <w:tc>
          <w:tcPr>
            <w:tcW w:w="3445" w:type="pct"/>
            <w:gridSpan w:val="7"/>
            <w:tcBorders>
              <w:top w:val="single" w:sz="4" w:space="0" w:color="000000"/>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支出</w:t>
            </w:r>
          </w:p>
        </w:tc>
      </w:tr>
      <w:tr w:rsidR="0057447D">
        <w:trPr>
          <w:trHeight w:val="312"/>
        </w:trPr>
        <w:tc>
          <w:tcPr>
            <w:tcW w:w="991" w:type="pct"/>
            <w:vMerge w:val="restart"/>
            <w:tcBorders>
              <w:top w:val="nil"/>
              <w:left w:val="single" w:sz="4" w:space="0" w:color="000000"/>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项目</w:t>
            </w:r>
          </w:p>
        </w:tc>
        <w:tc>
          <w:tcPr>
            <w:tcW w:w="211" w:type="pct"/>
            <w:vMerge w:val="restart"/>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行次</w:t>
            </w:r>
          </w:p>
        </w:tc>
        <w:tc>
          <w:tcPr>
            <w:tcW w:w="353" w:type="pct"/>
            <w:vMerge w:val="restart"/>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金额</w:t>
            </w:r>
          </w:p>
        </w:tc>
        <w:tc>
          <w:tcPr>
            <w:tcW w:w="1133" w:type="pct"/>
            <w:gridSpan w:val="2"/>
            <w:vMerge w:val="restart"/>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项目</w:t>
            </w:r>
          </w:p>
        </w:tc>
        <w:tc>
          <w:tcPr>
            <w:tcW w:w="211" w:type="pct"/>
            <w:vMerge w:val="restart"/>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行次</w:t>
            </w:r>
          </w:p>
        </w:tc>
        <w:tc>
          <w:tcPr>
            <w:tcW w:w="353" w:type="pct"/>
            <w:vMerge w:val="restar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合计</w:t>
            </w:r>
          </w:p>
        </w:tc>
        <w:tc>
          <w:tcPr>
            <w:tcW w:w="682" w:type="pct"/>
            <w:vMerge w:val="restart"/>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一般公共预算财政拨款</w:t>
            </w:r>
          </w:p>
        </w:tc>
        <w:tc>
          <w:tcPr>
            <w:tcW w:w="594" w:type="pct"/>
            <w:vMerge w:val="restart"/>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政府性基金预算财政拨款</w:t>
            </w:r>
          </w:p>
        </w:tc>
        <w:tc>
          <w:tcPr>
            <w:tcW w:w="472" w:type="pct"/>
            <w:vMerge w:val="restart"/>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国有资本经营预算财政拨款</w:t>
            </w:r>
          </w:p>
        </w:tc>
      </w:tr>
      <w:tr w:rsidR="0057447D">
        <w:trPr>
          <w:trHeight w:val="615"/>
        </w:trPr>
        <w:tc>
          <w:tcPr>
            <w:tcW w:w="991" w:type="pct"/>
            <w:vMerge/>
            <w:tcBorders>
              <w:top w:val="nil"/>
              <w:left w:val="single" w:sz="4" w:space="0" w:color="000000"/>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211"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353"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1133" w:type="pct"/>
            <w:gridSpan w:val="2"/>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211"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353"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682"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594"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472"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栏次</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353"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栏次</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353"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w:t>
            </w:r>
          </w:p>
        </w:tc>
        <w:tc>
          <w:tcPr>
            <w:tcW w:w="682"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w:t>
            </w:r>
          </w:p>
        </w:tc>
        <w:tc>
          <w:tcPr>
            <w:tcW w:w="594"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w:t>
            </w:r>
          </w:p>
        </w:tc>
        <w:tc>
          <w:tcPr>
            <w:tcW w:w="472"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一、一般公共预算财政拨款</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902.19</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一、一般公共服务支出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33</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17.11</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17.11</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二、政府性基金预算财政拨款</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二、外交支出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三、国有资本经营财政拨款</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三、国防支出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35</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四、公共安全支出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36</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五、教育支出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37</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六、科学技术支出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38</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七、文化旅游体育与传媒支出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39</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8</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八、社会保障和就业支出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40</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63.89</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63.89</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9</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九、卫生健康支出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41</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767.48</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767.48</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十、节能环保支出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42</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11</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十一、城乡社区支出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43</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12</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十二、农林水支出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44</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13</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十三、交通运输支出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45</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14</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十四、资源勘探工业信息等支出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15</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十五、商业服务业等支出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47</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16</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十六、金融支出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48</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17</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十七、援助其他地区支出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49</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18</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十八、自然资源海洋气象等支出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50</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19</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十九、住房保障支出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51</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二十、粮油物资储备支出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52</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二十一、国有资本经营预算支出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53</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二十二、灾害防治及应急管理支出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54</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23</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二十三、其他支出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55</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b/>
                <w:bCs/>
                <w:color w:val="000000"/>
                <w:kern w:val="0"/>
                <w:sz w:val="20"/>
                <w:szCs w:val="20"/>
                <w:shd w:val="clear" w:color="auto" w:fill="FFFFFF" w:themeFill="background1"/>
              </w:rPr>
            </w:pPr>
            <w:r>
              <w:rPr>
                <w:rFonts w:ascii="宋体" w:eastAsia="宋体" w:hAnsi="宋体" w:cs="Arial" w:hint="eastAsia"/>
                <w:b/>
                <w:bCs/>
                <w:color w:val="000000"/>
                <w:kern w:val="0"/>
                <w:sz w:val="20"/>
                <w:szCs w:val="20"/>
                <w:shd w:val="clear" w:color="auto" w:fill="FFFFFF" w:themeFill="background1"/>
              </w:rPr>
              <w:lastRenderedPageBreak/>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24</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二十四、债务还本支出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56</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二十五、债务付息支出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57</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26</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二十六、抗疫特别国债安排的支出</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58</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本年收入合计</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27</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912.19</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本年支出合计</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59</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893.31</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883.31</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年初财政拨款结转和结余</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28</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1,885.53</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年末财政拨款结转和结余</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60</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860.27</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860.27</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一般公共预算财政拨款</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29</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1,885.53</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61</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政府性基金预算财政拨款</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62</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国有资本经营预算财政拨款</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31</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63</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 xml:space="preserve">　</w:t>
            </w:r>
          </w:p>
        </w:tc>
      </w:tr>
      <w:tr w:rsidR="0057447D">
        <w:trPr>
          <w:trHeight w:val="308"/>
        </w:trPr>
        <w:tc>
          <w:tcPr>
            <w:tcW w:w="991" w:type="pct"/>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总计</w:t>
            </w:r>
          </w:p>
        </w:tc>
        <w:tc>
          <w:tcPr>
            <w:tcW w:w="211" w:type="pct"/>
            <w:tcBorders>
              <w:top w:val="nil"/>
              <w:left w:val="nil"/>
              <w:bottom w:val="single" w:sz="8"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32</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2797.72</w:t>
            </w:r>
          </w:p>
        </w:tc>
        <w:tc>
          <w:tcPr>
            <w:tcW w:w="1133" w:type="pct"/>
            <w:gridSpan w:val="2"/>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总计</w:t>
            </w:r>
          </w:p>
        </w:tc>
        <w:tc>
          <w:tcPr>
            <w:tcW w:w="211"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64</w:t>
            </w:r>
          </w:p>
        </w:tc>
        <w:tc>
          <w:tcPr>
            <w:tcW w:w="353"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1753.58</w:t>
            </w:r>
          </w:p>
        </w:tc>
        <w:tc>
          <w:tcPr>
            <w:tcW w:w="68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1,743.58</w:t>
            </w:r>
          </w:p>
        </w:tc>
        <w:tc>
          <w:tcPr>
            <w:tcW w:w="594"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472"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4528" w:type="pct"/>
            <w:gridSpan w:val="9"/>
            <w:tcBorders>
              <w:top w:val="nil"/>
              <w:left w:val="nil"/>
              <w:bottom w:val="nil"/>
              <w:right w:val="nil"/>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注：本表反映部门本年度一般公共预算财政拨款、政府性基金预算财政拨款和国有资本经营预算财政拨款的总收支和年末结转结余情况。</w:t>
            </w:r>
          </w:p>
        </w:tc>
        <w:tc>
          <w:tcPr>
            <w:tcW w:w="472" w:type="pct"/>
            <w:tcBorders>
              <w:top w:val="nil"/>
              <w:left w:val="nil"/>
              <w:bottom w:val="nil"/>
              <w:right w:val="nil"/>
            </w:tcBorders>
            <w:shd w:val="clear" w:color="auto" w:fill="auto"/>
            <w:noWrap/>
            <w:vAlign w:val="center"/>
          </w:tcPr>
          <w:p w:rsidR="0057447D" w:rsidRDefault="0057447D">
            <w:pPr>
              <w:widowControl/>
              <w:jc w:val="left"/>
              <w:rPr>
                <w:rFonts w:ascii="宋体" w:eastAsia="宋体" w:hAnsi="宋体" w:cs="Arial"/>
                <w:color w:val="000000"/>
                <w:kern w:val="0"/>
                <w:sz w:val="20"/>
                <w:szCs w:val="20"/>
                <w:shd w:val="clear" w:color="auto" w:fill="FFFFFF" w:themeFill="background1"/>
              </w:rPr>
            </w:pPr>
          </w:p>
        </w:tc>
      </w:tr>
      <w:tr w:rsidR="0057447D">
        <w:trPr>
          <w:trHeight w:val="255"/>
        </w:trPr>
        <w:tc>
          <w:tcPr>
            <w:tcW w:w="991" w:type="pct"/>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211" w:type="pct"/>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353" w:type="pct"/>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1133" w:type="pct"/>
            <w:gridSpan w:val="2"/>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211" w:type="pct"/>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353" w:type="pct"/>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682" w:type="pct"/>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594" w:type="pct"/>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472" w:type="pct"/>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r>
    </w:tbl>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p w:rsidR="0057447D" w:rsidRDefault="0057447D">
      <w:pPr>
        <w:widowControl/>
        <w:rPr>
          <w:rFonts w:ascii="Times New Roman" w:eastAsia="方正小标宋_GBK" w:hAnsi="Times New Roman" w:cs="Times New Roman"/>
          <w:kern w:val="0"/>
          <w:sz w:val="36"/>
          <w:szCs w:val="36"/>
          <w:shd w:val="clear" w:color="auto" w:fill="FFFFFF" w:themeFill="background1"/>
        </w:rPr>
      </w:pPr>
    </w:p>
    <w:p w:rsidR="0057447D" w:rsidRDefault="007A4AFA">
      <w:pPr>
        <w:widowControl/>
        <w:jc w:val="center"/>
        <w:rPr>
          <w:rFonts w:ascii="Times New Roman" w:eastAsia="方正小标宋_GBK" w:hAnsi="Times New Roman" w:cs="Times New Roman"/>
          <w:kern w:val="0"/>
          <w:sz w:val="36"/>
          <w:szCs w:val="36"/>
          <w:shd w:val="clear" w:color="auto" w:fill="FFFFFF" w:themeFill="background1"/>
        </w:rPr>
      </w:pPr>
      <w:r>
        <w:rPr>
          <w:rFonts w:ascii="Times New Roman" w:eastAsia="方正小标宋_GBK" w:hAnsi="Times New Roman" w:cs="Times New Roman"/>
          <w:kern w:val="0"/>
          <w:sz w:val="36"/>
          <w:szCs w:val="36"/>
          <w:shd w:val="clear" w:color="auto" w:fill="FFFFFF" w:themeFill="background1"/>
        </w:rPr>
        <w:t>一般公共预算财政拨款支出决算表</w:t>
      </w:r>
      <w:bookmarkEnd w:id="1"/>
    </w:p>
    <w:tbl>
      <w:tblPr>
        <w:tblW w:w="11740" w:type="dxa"/>
        <w:tblInd w:w="93" w:type="dxa"/>
        <w:tblLook w:val="04A0"/>
      </w:tblPr>
      <w:tblGrid>
        <w:gridCol w:w="340"/>
        <w:gridCol w:w="340"/>
        <w:gridCol w:w="340"/>
        <w:gridCol w:w="3940"/>
        <w:gridCol w:w="2260"/>
        <w:gridCol w:w="2260"/>
        <w:gridCol w:w="2260"/>
      </w:tblGrid>
      <w:tr w:rsidR="0057447D">
        <w:trPr>
          <w:trHeight w:val="255"/>
        </w:trPr>
        <w:tc>
          <w:tcPr>
            <w:tcW w:w="34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34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34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394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226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226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2260" w:type="dxa"/>
            <w:tcBorders>
              <w:top w:val="nil"/>
              <w:left w:val="nil"/>
              <w:bottom w:val="nil"/>
              <w:right w:val="nil"/>
            </w:tcBorders>
            <w:shd w:val="clear" w:color="auto" w:fill="auto"/>
            <w:noWrap/>
            <w:vAlign w:val="bottom"/>
          </w:tcPr>
          <w:p w:rsidR="0057447D" w:rsidRDefault="007A4AFA">
            <w:pPr>
              <w:widowControl/>
              <w:jc w:val="righ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公开05表</w:t>
            </w:r>
          </w:p>
        </w:tc>
      </w:tr>
      <w:tr w:rsidR="0057447D">
        <w:trPr>
          <w:trHeight w:val="255"/>
        </w:trPr>
        <w:tc>
          <w:tcPr>
            <w:tcW w:w="4960" w:type="dxa"/>
            <w:gridSpan w:val="4"/>
            <w:tcBorders>
              <w:top w:val="nil"/>
              <w:left w:val="nil"/>
              <w:bottom w:val="nil"/>
              <w:right w:val="nil"/>
            </w:tcBorders>
            <w:shd w:val="clear" w:color="auto" w:fill="auto"/>
            <w:noWrap/>
            <w:vAlign w:val="bottom"/>
          </w:tcPr>
          <w:p w:rsidR="0057447D" w:rsidRDefault="007A4AFA" w:rsidP="00D80294">
            <w:pPr>
              <w:widowControl/>
              <w:ind w:firstLineChars="250" w:firstLine="500"/>
              <w:jc w:val="lef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部门：湘西州医疗保障局</w:t>
            </w:r>
          </w:p>
        </w:tc>
        <w:tc>
          <w:tcPr>
            <w:tcW w:w="226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2260" w:type="dxa"/>
            <w:tcBorders>
              <w:top w:val="nil"/>
              <w:left w:val="nil"/>
              <w:bottom w:val="nil"/>
              <w:right w:val="nil"/>
            </w:tcBorders>
            <w:shd w:val="clear" w:color="auto" w:fill="auto"/>
            <w:noWrap/>
            <w:vAlign w:val="bottom"/>
          </w:tcPr>
          <w:p w:rsidR="0057447D" w:rsidRDefault="0057447D">
            <w:pPr>
              <w:widowControl/>
              <w:jc w:val="left"/>
              <w:rPr>
                <w:rFonts w:ascii="Arial" w:eastAsia="宋体" w:hAnsi="Arial" w:cs="Arial"/>
                <w:color w:val="000000"/>
                <w:kern w:val="0"/>
                <w:sz w:val="20"/>
                <w:szCs w:val="20"/>
                <w:shd w:val="clear" w:color="auto" w:fill="FFFFFF" w:themeFill="background1"/>
              </w:rPr>
            </w:pPr>
          </w:p>
        </w:tc>
        <w:tc>
          <w:tcPr>
            <w:tcW w:w="2260" w:type="dxa"/>
            <w:tcBorders>
              <w:top w:val="nil"/>
              <w:left w:val="nil"/>
              <w:bottom w:val="nil"/>
              <w:right w:val="nil"/>
            </w:tcBorders>
            <w:shd w:val="clear" w:color="auto" w:fill="auto"/>
            <w:noWrap/>
            <w:vAlign w:val="bottom"/>
          </w:tcPr>
          <w:p w:rsidR="0057447D" w:rsidRDefault="007A4AFA">
            <w:pPr>
              <w:widowControl/>
              <w:jc w:val="right"/>
              <w:rPr>
                <w:rFonts w:ascii="宋体" w:eastAsia="宋体" w:hAnsi="宋体" w:cs="Arial"/>
                <w:color w:val="000000"/>
                <w:kern w:val="0"/>
                <w:sz w:val="20"/>
                <w:szCs w:val="20"/>
                <w:shd w:val="clear" w:color="auto" w:fill="FFFFFF" w:themeFill="background1"/>
              </w:rPr>
            </w:pPr>
            <w:r>
              <w:rPr>
                <w:rFonts w:ascii="宋体" w:eastAsia="宋体" w:hAnsi="宋体" w:cs="Arial" w:hint="eastAsia"/>
                <w:color w:val="000000"/>
                <w:kern w:val="0"/>
                <w:sz w:val="20"/>
                <w:szCs w:val="20"/>
                <w:shd w:val="clear" w:color="auto" w:fill="FFFFFF" w:themeFill="background1"/>
              </w:rPr>
              <w:t>金额单位：万元</w:t>
            </w:r>
          </w:p>
        </w:tc>
      </w:tr>
    </w:tbl>
    <w:p w:rsidR="0057447D" w:rsidRDefault="0057447D">
      <w:pPr>
        <w:widowControl/>
        <w:jc w:val="center"/>
        <w:rPr>
          <w:rFonts w:ascii="Times New Roman" w:eastAsia="方正小标宋_GBK" w:hAnsi="Times New Roman" w:cs="Times New Roman"/>
          <w:kern w:val="0"/>
          <w:sz w:val="36"/>
          <w:szCs w:val="36"/>
          <w:shd w:val="clear" w:color="auto" w:fill="FFFFFF" w:themeFill="background1"/>
        </w:rPr>
      </w:pPr>
    </w:p>
    <w:tbl>
      <w:tblPr>
        <w:tblW w:w="14219" w:type="dxa"/>
        <w:jc w:val="center"/>
        <w:tblLook w:val="04A0"/>
      </w:tblPr>
      <w:tblGrid>
        <w:gridCol w:w="14219"/>
      </w:tblGrid>
      <w:tr w:rsidR="0057447D">
        <w:trPr>
          <w:trHeight w:val="645"/>
          <w:jc w:val="center"/>
        </w:trPr>
        <w:tc>
          <w:tcPr>
            <w:tcW w:w="14219" w:type="dxa"/>
            <w:tcBorders>
              <w:top w:val="nil"/>
              <w:left w:val="nil"/>
              <w:bottom w:val="nil"/>
              <w:right w:val="nil"/>
            </w:tcBorders>
            <w:shd w:val="clear" w:color="auto" w:fill="auto"/>
            <w:vAlign w:val="center"/>
          </w:tcPr>
          <w:tbl>
            <w:tblPr>
              <w:tblW w:w="5000" w:type="pct"/>
              <w:tblLook w:val="04A0"/>
            </w:tblPr>
            <w:tblGrid>
              <w:gridCol w:w="2860"/>
              <w:gridCol w:w="6683"/>
              <w:gridCol w:w="1276"/>
              <w:gridCol w:w="1587"/>
              <w:gridCol w:w="1587"/>
            </w:tblGrid>
            <w:tr w:rsidR="0057447D">
              <w:trPr>
                <w:trHeight w:val="308"/>
              </w:trPr>
              <w:tc>
                <w:tcPr>
                  <w:tcW w:w="3410" w:type="pct"/>
                  <w:gridSpan w:val="2"/>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项目</w:t>
                  </w:r>
                </w:p>
              </w:tc>
              <w:tc>
                <w:tcPr>
                  <w:tcW w:w="1590" w:type="pct"/>
                  <w:gridSpan w:val="3"/>
                  <w:tcBorders>
                    <w:top w:val="single" w:sz="4" w:space="0" w:color="000000"/>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本年支出</w:t>
                  </w:r>
                </w:p>
              </w:tc>
            </w:tr>
            <w:tr w:rsidR="0057447D">
              <w:trPr>
                <w:trHeight w:val="312"/>
              </w:trPr>
              <w:tc>
                <w:tcPr>
                  <w:tcW w:w="1022" w:type="pct"/>
                  <w:vMerge w:val="restart"/>
                  <w:tcBorders>
                    <w:top w:val="nil"/>
                    <w:left w:val="single" w:sz="4" w:space="0" w:color="000000"/>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功能分类科目编码</w:t>
                  </w:r>
                </w:p>
              </w:tc>
              <w:tc>
                <w:tcPr>
                  <w:tcW w:w="2388" w:type="pct"/>
                  <w:vMerge w:val="restar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科目名称</w:t>
                  </w:r>
                </w:p>
              </w:tc>
              <w:tc>
                <w:tcPr>
                  <w:tcW w:w="456" w:type="pct"/>
                  <w:vMerge w:val="restart"/>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小计</w:t>
                  </w:r>
                </w:p>
              </w:tc>
              <w:tc>
                <w:tcPr>
                  <w:tcW w:w="567" w:type="pct"/>
                  <w:vMerge w:val="restart"/>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基本支出</w:t>
                  </w:r>
                </w:p>
              </w:tc>
              <w:tc>
                <w:tcPr>
                  <w:tcW w:w="567" w:type="pct"/>
                  <w:vMerge w:val="restart"/>
                  <w:tcBorders>
                    <w:top w:val="nil"/>
                    <w:left w:val="nil"/>
                    <w:bottom w:val="single" w:sz="4" w:space="0" w:color="000000"/>
                    <w:right w:val="single" w:sz="4" w:space="0" w:color="000000"/>
                  </w:tcBorders>
                  <w:shd w:val="clear" w:color="FFFFFF" w:fill="C0C0C0"/>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项目支出</w:t>
                  </w:r>
                </w:p>
              </w:tc>
            </w:tr>
            <w:tr w:rsidR="0057447D">
              <w:trPr>
                <w:trHeight w:val="312"/>
              </w:trPr>
              <w:tc>
                <w:tcPr>
                  <w:tcW w:w="1022" w:type="pct"/>
                  <w:vMerge/>
                  <w:tcBorders>
                    <w:top w:val="nil"/>
                    <w:left w:val="single" w:sz="4" w:space="0" w:color="000000"/>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2388"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456"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567"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567"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r>
            <w:tr w:rsidR="0057447D">
              <w:trPr>
                <w:trHeight w:val="312"/>
              </w:trPr>
              <w:tc>
                <w:tcPr>
                  <w:tcW w:w="1022" w:type="pct"/>
                  <w:vMerge/>
                  <w:tcBorders>
                    <w:top w:val="nil"/>
                    <w:left w:val="single" w:sz="4" w:space="0" w:color="000000"/>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2388"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456"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567"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c>
                <w:tcPr>
                  <w:tcW w:w="567" w:type="pct"/>
                  <w:vMerge/>
                  <w:tcBorders>
                    <w:top w:val="nil"/>
                    <w:left w:val="nil"/>
                    <w:bottom w:val="single" w:sz="4" w:space="0" w:color="000000"/>
                    <w:right w:val="single" w:sz="4" w:space="0" w:color="000000"/>
                  </w:tcBorders>
                  <w:vAlign w:val="center"/>
                </w:tcPr>
                <w:p w:rsidR="0057447D" w:rsidRDefault="0057447D">
                  <w:pPr>
                    <w:widowControl/>
                    <w:jc w:val="left"/>
                    <w:rPr>
                      <w:rFonts w:ascii="宋体" w:eastAsia="宋体" w:hAnsi="宋体" w:cs="Arial"/>
                      <w:color w:val="000000"/>
                      <w:kern w:val="0"/>
                      <w:sz w:val="22"/>
                      <w:shd w:val="clear" w:color="auto" w:fill="FFFFFF" w:themeFill="background1"/>
                    </w:rPr>
                  </w:pPr>
                </w:p>
              </w:tc>
            </w:tr>
            <w:tr w:rsidR="0057447D">
              <w:trPr>
                <w:trHeight w:val="308"/>
              </w:trPr>
              <w:tc>
                <w:tcPr>
                  <w:tcW w:w="3410" w:type="pct"/>
                  <w:gridSpan w:val="2"/>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栏次</w:t>
                  </w:r>
                </w:p>
              </w:tc>
              <w:tc>
                <w:tcPr>
                  <w:tcW w:w="456"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w:t>
                  </w:r>
                </w:p>
              </w:tc>
              <w:tc>
                <w:tcPr>
                  <w:tcW w:w="567"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w:t>
                  </w:r>
                </w:p>
              </w:tc>
              <w:tc>
                <w:tcPr>
                  <w:tcW w:w="567" w:type="pct"/>
                  <w:tcBorders>
                    <w:top w:val="nil"/>
                    <w:left w:val="nil"/>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w:t>
                  </w:r>
                </w:p>
              </w:tc>
            </w:tr>
            <w:tr w:rsidR="0057447D">
              <w:trPr>
                <w:trHeight w:val="308"/>
              </w:trPr>
              <w:tc>
                <w:tcPr>
                  <w:tcW w:w="3410" w:type="pct"/>
                  <w:gridSpan w:val="2"/>
                  <w:tcBorders>
                    <w:top w:val="nil"/>
                    <w:left w:val="single" w:sz="4" w:space="0" w:color="000000"/>
                    <w:bottom w:val="single" w:sz="4" w:space="0" w:color="000000"/>
                    <w:right w:val="single" w:sz="4" w:space="0" w:color="000000"/>
                  </w:tcBorders>
                  <w:shd w:val="clear" w:color="FFFFFF" w:fill="C0C0C0"/>
                  <w:noWrap/>
                  <w:vAlign w:val="center"/>
                </w:tcPr>
                <w:p w:rsidR="0057447D" w:rsidRDefault="007A4AFA">
                  <w:pPr>
                    <w:widowControl/>
                    <w:jc w:val="center"/>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合计</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893.31</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742.53</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b/>
                      <w:bCs/>
                      <w:color w:val="000000"/>
                      <w:kern w:val="0"/>
                      <w:sz w:val="22"/>
                      <w:shd w:val="clear" w:color="auto" w:fill="FFFFFF" w:themeFill="background1"/>
                    </w:rPr>
                  </w:pPr>
                  <w:r>
                    <w:rPr>
                      <w:rFonts w:ascii="宋体" w:eastAsia="宋体" w:hAnsi="宋体" w:cs="Arial" w:hint="eastAsia"/>
                      <w:b/>
                      <w:bCs/>
                      <w:color w:val="000000"/>
                      <w:kern w:val="0"/>
                      <w:sz w:val="22"/>
                      <w:shd w:val="clear" w:color="auto" w:fill="FFFFFF" w:themeFill="background1"/>
                    </w:rPr>
                    <w:t>150.78</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一般公共服务支出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17.11</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17.11</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20103</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政府办公厅（室）及相关机构事务</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2010399</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其他政府办公厅（室）及相关机构事务支出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20104</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发展与改革事务</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7.11</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7.11</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2010499</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其他发展与改革事务支出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7.11</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7.11</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社会保障和就业支出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63.89</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63.89</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20801</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人力资源和社会保障管理事务</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10.30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10.30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2080109</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社会保险经办机构</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8.38</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8.38</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2080199</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其他人力资源和社会保障管理事务支出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1.92</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1.92</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行政事业单位养老支出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53.59</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53.59</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2080501</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行政单位离退休</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4.65</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4.65</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2080502</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事业单位离退休</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2.50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2080505</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机关事业单位基本养老保险缴费支出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46.44</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46.44</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卫生健康支出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767.47</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643.80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123.67</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21011</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行政事业单位医疗</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20.32</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20.32</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2101101</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行政单位医疗</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4.55</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4.55</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2101102</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事业单位医疗</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15.77</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15.77</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lastRenderedPageBreak/>
                    <w:t>21015</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医疗保障管理事务</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716.58</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592.91</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123.67</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2101501</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行政运行</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247.14</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247.14</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2101502</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一般行政管理事务</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71.70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71.70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2101505</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医疗保障政策管理</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29.66</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29.66</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2101550</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事业运行</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335.06</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335.06</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2101599</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其他医疗保障管理事务支出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33.03</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10.71</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22.32</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21099</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其他卫生健康支出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2109901</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其他卫生健康支出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30.57</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221</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住房保障支出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22102</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住房改革支出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2210201</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住房公积金</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34.83</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0.00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color w:val="000000"/>
                      <w:kern w:val="0"/>
                      <w:sz w:val="22"/>
                      <w:shd w:val="clear" w:color="auto" w:fill="FFFFFF" w:themeFill="background1"/>
                    </w:rPr>
                    <w:t>234</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抗疫特别国债安排的支出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color w:val="000000"/>
                      <w:kern w:val="0"/>
                      <w:sz w:val="22"/>
                      <w:shd w:val="clear" w:color="auto" w:fill="FFFFFF" w:themeFill="background1"/>
                    </w:rPr>
                    <w:t>23402</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抗疫相关支出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w:t>
                  </w:r>
                </w:p>
              </w:tc>
            </w:tr>
            <w:tr w:rsidR="0057447D">
              <w:trPr>
                <w:trHeight w:val="308"/>
              </w:trPr>
              <w:tc>
                <w:tcPr>
                  <w:tcW w:w="1022" w:type="pct"/>
                  <w:tcBorders>
                    <w:top w:val="nil"/>
                    <w:left w:val="single" w:sz="4" w:space="0" w:color="000000"/>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color w:val="000000"/>
                      <w:kern w:val="0"/>
                      <w:sz w:val="22"/>
                      <w:shd w:val="clear" w:color="auto" w:fill="FFFFFF" w:themeFill="background1"/>
                    </w:rPr>
                    <w:t>2340299</w:t>
                  </w:r>
                </w:p>
              </w:tc>
              <w:tc>
                <w:tcPr>
                  <w:tcW w:w="2388"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其他抗疫相关支出</w:t>
                  </w:r>
                </w:p>
              </w:tc>
              <w:tc>
                <w:tcPr>
                  <w:tcW w:w="456"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0</w:t>
                  </w:r>
                </w:p>
              </w:tc>
              <w:tc>
                <w:tcPr>
                  <w:tcW w:w="567" w:type="pct"/>
                  <w:tcBorders>
                    <w:top w:val="nil"/>
                    <w:left w:val="nil"/>
                    <w:bottom w:val="single" w:sz="4" w:space="0" w:color="000000"/>
                    <w:right w:val="single" w:sz="4" w:space="0" w:color="000000"/>
                  </w:tcBorders>
                  <w:shd w:val="clear" w:color="auto" w:fill="auto"/>
                  <w:noWrap/>
                  <w:vAlign w:val="center"/>
                </w:tcPr>
                <w:p w:rsidR="0057447D" w:rsidRDefault="007A4AFA">
                  <w:pPr>
                    <w:widowControl/>
                    <w:jc w:val="righ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10</w:t>
                  </w:r>
                </w:p>
              </w:tc>
            </w:tr>
            <w:tr w:rsidR="0057447D">
              <w:trPr>
                <w:trHeight w:val="308"/>
              </w:trPr>
              <w:tc>
                <w:tcPr>
                  <w:tcW w:w="5000" w:type="pct"/>
                  <w:gridSpan w:val="5"/>
                  <w:tcBorders>
                    <w:top w:val="nil"/>
                    <w:left w:val="nil"/>
                    <w:bottom w:val="nil"/>
                    <w:right w:val="nil"/>
                  </w:tcBorders>
                  <w:shd w:val="clear" w:color="auto" w:fill="auto"/>
                  <w:noWrap/>
                  <w:vAlign w:val="center"/>
                </w:tcPr>
                <w:p w:rsidR="0057447D" w:rsidRDefault="007A4AFA">
                  <w:pPr>
                    <w:widowControl/>
                    <w:jc w:val="left"/>
                    <w:rPr>
                      <w:rFonts w:ascii="宋体" w:eastAsia="宋体" w:hAnsi="宋体" w:cs="Arial"/>
                      <w:color w:val="000000"/>
                      <w:kern w:val="0"/>
                      <w:sz w:val="22"/>
                      <w:shd w:val="clear" w:color="auto" w:fill="FFFFFF" w:themeFill="background1"/>
                    </w:rPr>
                  </w:pPr>
                  <w:r>
                    <w:rPr>
                      <w:rFonts w:ascii="宋体" w:eastAsia="宋体" w:hAnsi="宋体" w:cs="Arial" w:hint="eastAsia"/>
                      <w:color w:val="000000"/>
                      <w:kern w:val="0"/>
                      <w:sz w:val="22"/>
                      <w:shd w:val="clear" w:color="auto" w:fill="FFFFFF" w:themeFill="background1"/>
                    </w:rPr>
                    <w:t>注：本表反映部门本年度一般公共预算财政拨款支出情况。</w:t>
                  </w:r>
                </w:p>
              </w:tc>
            </w:tr>
          </w:tbl>
          <w:p w:rsidR="0057447D" w:rsidRDefault="0057447D">
            <w:pPr>
              <w:widowControl/>
              <w:jc w:val="left"/>
              <w:rPr>
                <w:rFonts w:ascii="Times New Roman" w:eastAsia="仿宋_GB2312" w:hAnsi="Times New Roman" w:cs="Times New Roman"/>
                <w:kern w:val="0"/>
                <w:szCs w:val="21"/>
                <w:shd w:val="clear" w:color="auto" w:fill="FFFFFF" w:themeFill="background1"/>
              </w:rPr>
            </w:pPr>
          </w:p>
        </w:tc>
      </w:tr>
      <w:tr w:rsidR="0057447D">
        <w:trPr>
          <w:trHeight w:val="645"/>
          <w:jc w:val="center"/>
        </w:trPr>
        <w:tc>
          <w:tcPr>
            <w:tcW w:w="14219" w:type="dxa"/>
            <w:tcBorders>
              <w:top w:val="nil"/>
              <w:left w:val="nil"/>
              <w:bottom w:val="nil"/>
              <w:right w:val="nil"/>
            </w:tcBorders>
            <w:shd w:val="clear" w:color="auto" w:fill="auto"/>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r>
    </w:tbl>
    <w:p w:rsidR="0057447D" w:rsidRDefault="0057447D">
      <w:pPr>
        <w:widowControl/>
        <w:jc w:val="left"/>
        <w:rPr>
          <w:rFonts w:ascii="Times New Roman" w:eastAsia="仿宋_GB2312" w:hAnsi="Times New Roman" w:cs="Times New Roman"/>
          <w:bCs/>
          <w:kern w:val="0"/>
          <w:szCs w:val="21"/>
          <w:shd w:val="clear" w:color="auto" w:fill="FFFFFF" w:themeFill="background1"/>
        </w:rPr>
      </w:pPr>
    </w:p>
    <w:p w:rsidR="0057447D" w:rsidRDefault="007A4AFA">
      <w:pPr>
        <w:widowControl/>
        <w:jc w:val="left"/>
        <w:rPr>
          <w:rFonts w:ascii="Times New Roman" w:eastAsia="仿宋_GB2312" w:hAnsi="Times New Roman" w:cs="Times New Roman"/>
          <w:bCs/>
          <w:kern w:val="0"/>
          <w:szCs w:val="21"/>
          <w:shd w:val="clear" w:color="auto" w:fill="FFFFFF" w:themeFill="background1"/>
        </w:rPr>
      </w:pPr>
      <w:r>
        <w:rPr>
          <w:rFonts w:ascii="Times New Roman" w:eastAsia="仿宋_GB2312" w:hAnsi="Times New Roman" w:cs="Times New Roman"/>
          <w:bCs/>
          <w:kern w:val="0"/>
          <w:szCs w:val="21"/>
          <w:shd w:val="clear" w:color="auto" w:fill="FFFFFF" w:themeFill="background1"/>
        </w:rPr>
        <w:br w:type="page"/>
      </w:r>
    </w:p>
    <w:tbl>
      <w:tblPr>
        <w:tblW w:w="0" w:type="auto"/>
        <w:tblLook w:val="04A0"/>
      </w:tblPr>
      <w:tblGrid>
        <w:gridCol w:w="1336"/>
        <w:gridCol w:w="3156"/>
        <w:gridCol w:w="846"/>
        <w:gridCol w:w="1336"/>
        <w:gridCol w:w="2106"/>
        <w:gridCol w:w="751"/>
        <w:gridCol w:w="1336"/>
        <w:gridCol w:w="3996"/>
        <w:gridCol w:w="751"/>
      </w:tblGrid>
      <w:tr w:rsidR="0057447D">
        <w:trPr>
          <w:trHeight w:val="113"/>
        </w:trPr>
        <w:tc>
          <w:tcPr>
            <w:tcW w:w="0" w:type="auto"/>
            <w:gridSpan w:val="9"/>
            <w:tcBorders>
              <w:top w:val="nil"/>
              <w:left w:val="nil"/>
              <w:bottom w:val="nil"/>
              <w:right w:val="nil"/>
            </w:tcBorders>
            <w:shd w:val="clear" w:color="auto" w:fill="auto"/>
            <w:noWrap/>
            <w:vAlign w:val="center"/>
          </w:tcPr>
          <w:p w:rsidR="0057447D" w:rsidRDefault="007A4AFA">
            <w:pPr>
              <w:widowControl/>
              <w:jc w:val="center"/>
              <w:rPr>
                <w:rFonts w:ascii="Times New Roman" w:eastAsia="方正小标宋_GBK" w:hAnsi="Times New Roman" w:cs="Times New Roman"/>
                <w:kern w:val="0"/>
                <w:sz w:val="36"/>
                <w:szCs w:val="36"/>
                <w:shd w:val="clear" w:color="auto" w:fill="FFFFFF" w:themeFill="background1"/>
              </w:rPr>
            </w:pPr>
            <w:bookmarkStart w:id="2" w:name="RANGE!A1:I34"/>
            <w:r>
              <w:rPr>
                <w:rFonts w:ascii="Times New Roman" w:eastAsia="方正小标宋_GBK" w:hAnsi="Times New Roman" w:cs="Times New Roman" w:hint="eastAsia"/>
                <w:kern w:val="0"/>
                <w:sz w:val="36"/>
                <w:szCs w:val="36"/>
                <w:shd w:val="clear" w:color="auto" w:fill="FFFFFF" w:themeFill="background1"/>
              </w:rPr>
              <w:lastRenderedPageBreak/>
              <w:t>一般公共预算财政拨款基本支出决算表</w:t>
            </w:r>
            <w:bookmarkEnd w:id="2"/>
          </w:p>
          <w:p w:rsidR="0057447D" w:rsidRDefault="007A4AFA">
            <w:pPr>
              <w:widowControl/>
              <w:jc w:val="left"/>
              <w:rPr>
                <w:rFonts w:ascii="Times New Roman" w:eastAsia="仿宋_GB2312" w:hAnsi="Times New Roman" w:cs="Times New Roman"/>
                <w:color w:val="000000"/>
                <w:kern w:val="0"/>
                <w:szCs w:val="21"/>
                <w:shd w:val="clear" w:color="auto" w:fill="FFFFFF" w:themeFill="background1"/>
              </w:rPr>
            </w:pPr>
            <w:r>
              <w:rPr>
                <w:rFonts w:ascii="Times New Roman" w:eastAsia="仿宋_GB2312" w:hAnsi="Times New Roman" w:cs="Times New Roman"/>
                <w:color w:val="000000"/>
                <w:kern w:val="0"/>
                <w:szCs w:val="21"/>
                <w:shd w:val="clear" w:color="auto" w:fill="FFFFFF" w:themeFill="background1"/>
              </w:rPr>
              <w:t>部门：</w:t>
            </w:r>
            <w:r>
              <w:rPr>
                <w:rFonts w:ascii="Times New Roman" w:eastAsia="仿宋_GB2312" w:hAnsi="Times New Roman" w:cs="Times New Roman" w:hint="eastAsia"/>
                <w:color w:val="000000"/>
                <w:kern w:val="0"/>
                <w:szCs w:val="21"/>
                <w:shd w:val="clear" w:color="auto" w:fill="FFFFFF" w:themeFill="background1"/>
              </w:rPr>
              <w:t>公开</w:t>
            </w:r>
            <w:r>
              <w:rPr>
                <w:rFonts w:ascii="Times New Roman" w:eastAsia="仿宋_GB2312" w:hAnsi="Times New Roman" w:cs="Times New Roman" w:hint="eastAsia"/>
                <w:color w:val="000000"/>
                <w:kern w:val="0"/>
                <w:szCs w:val="21"/>
                <w:shd w:val="clear" w:color="auto" w:fill="FFFFFF" w:themeFill="background1"/>
              </w:rPr>
              <w:t>06</w:t>
            </w:r>
            <w:r>
              <w:rPr>
                <w:rFonts w:ascii="Times New Roman" w:eastAsia="仿宋_GB2312" w:hAnsi="Times New Roman" w:cs="Times New Roman" w:hint="eastAsia"/>
                <w:color w:val="000000"/>
                <w:kern w:val="0"/>
                <w:szCs w:val="21"/>
                <w:shd w:val="clear" w:color="auto" w:fill="FFFFFF" w:themeFill="background1"/>
              </w:rPr>
              <w:t>表单位：万元</w:t>
            </w:r>
          </w:p>
        </w:tc>
      </w:tr>
      <w:tr w:rsidR="0057447D">
        <w:trPr>
          <w:trHeight w:val="58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color w:val="000000"/>
                <w:kern w:val="0"/>
                <w:sz w:val="18"/>
                <w:szCs w:val="20"/>
                <w:shd w:val="clear" w:color="auto" w:fill="FFFFFF" w:themeFill="background1"/>
              </w:rPr>
            </w:pPr>
            <w:r>
              <w:rPr>
                <w:rFonts w:ascii="宋体" w:eastAsia="宋体" w:hAnsi="宋体" w:cs="宋体" w:hint="eastAsia"/>
                <w:color w:val="000000"/>
                <w:kern w:val="0"/>
                <w:sz w:val="18"/>
                <w:szCs w:val="20"/>
                <w:shd w:val="clear" w:color="auto" w:fill="FFFFFF" w:themeFill="background1"/>
              </w:rPr>
              <w:t>经济分类科目编码</w:t>
            </w:r>
          </w:p>
        </w:tc>
        <w:tc>
          <w:tcPr>
            <w:tcW w:w="0" w:type="auto"/>
            <w:tcBorders>
              <w:top w:val="single" w:sz="4" w:space="0" w:color="auto"/>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color w:val="000000"/>
                <w:kern w:val="0"/>
                <w:sz w:val="18"/>
                <w:szCs w:val="20"/>
                <w:shd w:val="clear" w:color="auto" w:fill="FFFFFF" w:themeFill="background1"/>
              </w:rPr>
            </w:pPr>
            <w:r>
              <w:rPr>
                <w:rFonts w:ascii="宋体" w:eastAsia="宋体" w:hAnsi="宋体" w:cs="宋体" w:hint="eastAsia"/>
                <w:color w:val="000000"/>
                <w:kern w:val="0"/>
                <w:sz w:val="18"/>
                <w:szCs w:val="20"/>
                <w:shd w:val="clear" w:color="auto" w:fill="FFFFFF" w:themeFill="background1"/>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color w:val="000000"/>
                <w:kern w:val="0"/>
                <w:sz w:val="18"/>
                <w:szCs w:val="20"/>
                <w:shd w:val="clear" w:color="auto" w:fill="FFFFFF" w:themeFill="background1"/>
              </w:rPr>
            </w:pPr>
            <w:r>
              <w:rPr>
                <w:rFonts w:ascii="宋体" w:eastAsia="宋体" w:hAnsi="宋体" w:cs="宋体" w:hint="eastAsia"/>
                <w:color w:val="000000"/>
                <w:kern w:val="0"/>
                <w:sz w:val="18"/>
                <w:szCs w:val="20"/>
                <w:shd w:val="clear" w:color="auto" w:fill="FFFFFF" w:themeFill="background1"/>
              </w:rPr>
              <w:t>决算数</w:t>
            </w:r>
          </w:p>
        </w:tc>
        <w:tc>
          <w:tcPr>
            <w:tcW w:w="0" w:type="auto"/>
            <w:tcBorders>
              <w:top w:val="single" w:sz="4" w:space="0" w:color="auto"/>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color w:val="000000"/>
                <w:kern w:val="0"/>
                <w:sz w:val="18"/>
                <w:szCs w:val="20"/>
                <w:shd w:val="clear" w:color="auto" w:fill="FFFFFF" w:themeFill="background1"/>
              </w:rPr>
            </w:pPr>
            <w:r>
              <w:rPr>
                <w:rFonts w:ascii="宋体" w:eastAsia="宋体" w:hAnsi="宋体" w:cs="宋体" w:hint="eastAsia"/>
                <w:color w:val="000000"/>
                <w:kern w:val="0"/>
                <w:sz w:val="18"/>
                <w:szCs w:val="20"/>
                <w:shd w:val="clear" w:color="auto" w:fill="FFFFFF" w:themeFill="background1"/>
              </w:rPr>
              <w:t>经济分类科目编码</w:t>
            </w:r>
          </w:p>
        </w:tc>
        <w:tc>
          <w:tcPr>
            <w:tcW w:w="0" w:type="auto"/>
            <w:tcBorders>
              <w:top w:val="single" w:sz="4" w:space="0" w:color="auto"/>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color w:val="000000"/>
                <w:kern w:val="0"/>
                <w:sz w:val="18"/>
                <w:szCs w:val="20"/>
                <w:shd w:val="clear" w:color="auto" w:fill="FFFFFF" w:themeFill="background1"/>
              </w:rPr>
            </w:pPr>
            <w:r>
              <w:rPr>
                <w:rFonts w:ascii="宋体" w:eastAsia="宋体" w:hAnsi="宋体" w:cs="宋体" w:hint="eastAsia"/>
                <w:color w:val="000000"/>
                <w:kern w:val="0"/>
                <w:sz w:val="18"/>
                <w:szCs w:val="20"/>
                <w:shd w:val="clear" w:color="auto" w:fill="FFFFFF" w:themeFill="background1"/>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color w:val="000000"/>
                <w:kern w:val="0"/>
                <w:sz w:val="18"/>
                <w:szCs w:val="20"/>
                <w:shd w:val="clear" w:color="auto" w:fill="FFFFFF" w:themeFill="background1"/>
              </w:rPr>
            </w:pPr>
            <w:r>
              <w:rPr>
                <w:rFonts w:ascii="宋体" w:eastAsia="宋体" w:hAnsi="宋体" w:cs="宋体" w:hint="eastAsia"/>
                <w:color w:val="000000"/>
                <w:kern w:val="0"/>
                <w:sz w:val="18"/>
                <w:szCs w:val="20"/>
                <w:shd w:val="clear" w:color="auto" w:fill="FFFFFF" w:themeFill="background1"/>
              </w:rPr>
              <w:t>决算数</w:t>
            </w:r>
          </w:p>
        </w:tc>
        <w:tc>
          <w:tcPr>
            <w:tcW w:w="0" w:type="auto"/>
            <w:tcBorders>
              <w:top w:val="single" w:sz="4" w:space="0" w:color="auto"/>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color w:val="000000"/>
                <w:kern w:val="0"/>
                <w:sz w:val="18"/>
                <w:szCs w:val="20"/>
                <w:shd w:val="clear" w:color="auto" w:fill="FFFFFF" w:themeFill="background1"/>
              </w:rPr>
            </w:pPr>
            <w:r>
              <w:rPr>
                <w:rFonts w:ascii="宋体" w:eastAsia="宋体" w:hAnsi="宋体" w:cs="宋体" w:hint="eastAsia"/>
                <w:color w:val="000000"/>
                <w:kern w:val="0"/>
                <w:sz w:val="18"/>
                <w:szCs w:val="20"/>
                <w:shd w:val="clear" w:color="auto" w:fill="FFFFFF" w:themeFill="background1"/>
              </w:rPr>
              <w:t>经济分类科目编码</w:t>
            </w:r>
          </w:p>
        </w:tc>
        <w:tc>
          <w:tcPr>
            <w:tcW w:w="0" w:type="auto"/>
            <w:tcBorders>
              <w:top w:val="single" w:sz="4" w:space="0" w:color="auto"/>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color w:val="000000"/>
                <w:kern w:val="0"/>
                <w:sz w:val="18"/>
                <w:szCs w:val="20"/>
                <w:shd w:val="clear" w:color="auto" w:fill="FFFFFF" w:themeFill="background1"/>
              </w:rPr>
            </w:pPr>
            <w:r>
              <w:rPr>
                <w:rFonts w:ascii="宋体" w:eastAsia="宋体" w:hAnsi="宋体" w:cs="宋体" w:hint="eastAsia"/>
                <w:color w:val="000000"/>
                <w:kern w:val="0"/>
                <w:sz w:val="18"/>
                <w:szCs w:val="20"/>
                <w:shd w:val="clear" w:color="auto" w:fill="FFFFFF" w:themeFill="background1"/>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color w:val="000000"/>
                <w:kern w:val="0"/>
                <w:sz w:val="18"/>
                <w:szCs w:val="20"/>
                <w:shd w:val="clear" w:color="auto" w:fill="FFFFFF" w:themeFill="background1"/>
              </w:rPr>
            </w:pPr>
            <w:r>
              <w:rPr>
                <w:rFonts w:ascii="宋体" w:eastAsia="宋体" w:hAnsi="宋体" w:cs="宋体" w:hint="eastAsia"/>
                <w:color w:val="000000"/>
                <w:kern w:val="0"/>
                <w:sz w:val="18"/>
                <w:szCs w:val="20"/>
                <w:shd w:val="clear" w:color="auto" w:fill="FFFFFF" w:themeFill="background1"/>
              </w:rPr>
              <w:t>决算数</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工资福利支出</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552.94</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商品和服务支出</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26.81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债务利息及费用支出</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30101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基本工资</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220.74</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30201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办公费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2.01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30701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国内债务付息</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30102</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津贴补贴</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102.77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30202</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印刷费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2.58</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30702</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国外债务付息</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30103</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奖金</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11.48</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30203</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咨询费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资本性支出</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30106</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伙食补助费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30204</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手续费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31001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房屋建筑物购建</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30107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绩效工资</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30205</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水费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31002</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办公设备购置</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30108</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机关事业单位基本养老保险缴费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50.37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30206</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电费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31003</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专用设备购置</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30109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职业年金缴费之这</w:t>
            </w: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p w:rsidR="0057447D" w:rsidRDefault="0057447D">
            <w:pPr>
              <w:widowControl/>
              <w:jc w:val="left"/>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30207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邮电费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0.13</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31005</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基础设施建设</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30110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职工基本医疗保险缴费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39.61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30208</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取暖费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31006</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大型修缮</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30111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公务员医疗补助缴费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30209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物业管理费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4.60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31007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信息网络及软件购置更新</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30112</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其他社会保障缴费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4.97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30211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差旅费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31008</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物资储备</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30113</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住房公积金</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84.90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30212</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因公出国（境）费用</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31009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土地补偿</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30114</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医疗费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30213</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维修（护）费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31010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安置补助</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30199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其他工资福利支出</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38.10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30214</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租赁费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31011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地上附着物和青苗补偿</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对个人和家庭的补助</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162.78</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30215</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会议费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0.15</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31012</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拆迁补偿</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30301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离休费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30216</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培训费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0.73</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31013</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公务用车购置</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30302</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退休费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30217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公务接待费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31019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其他交通工具购置</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30303</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退职（役）费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30218</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专用材料费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31021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文物和陈列品购置</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30304</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抚恤金</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30224</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被装购置费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31022</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无形资产购置</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30305</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生活补助</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0.86</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30225</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专用燃料费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31099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其他资本性支出</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30306</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救济费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30226</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劳务费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0.25</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399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其他支出</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30307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医疗费补助</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44.95</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30227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委托业务费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39906</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赠与</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30308</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助学金</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30228</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工会经费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2.90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39907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国家赔偿费用支出</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30309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奖励金</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116.67</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30229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福利费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2.06</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39908</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对民间非营利组织和群众性自治组织补贴</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30310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个人农业生产补贴</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30231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公务用车运行维护费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1.92</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39999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其他支出</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30311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代缴社会保险费</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30239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其他交通费用</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0.33</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18"/>
                <w:shd w:val="clear" w:color="auto" w:fill="FFFFFF" w:themeFill="background1"/>
              </w:rPr>
            </w:pPr>
            <w:r>
              <w:rPr>
                <w:rFonts w:ascii="宋体" w:eastAsia="宋体" w:hAnsi="宋体" w:cs="宋体" w:hint="eastAsia"/>
                <w:color w:val="000000"/>
                <w:kern w:val="0"/>
                <w:szCs w:val="18"/>
                <w:shd w:val="clear" w:color="auto" w:fill="FFFFFF" w:themeFill="background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18"/>
                <w:shd w:val="clear" w:color="auto" w:fill="FFFFFF" w:themeFill="background1"/>
              </w:rPr>
            </w:pPr>
            <w:r>
              <w:rPr>
                <w:rFonts w:ascii="宋体" w:eastAsia="宋体" w:hAnsi="宋体" w:cs="宋体" w:hint="eastAsia"/>
                <w:color w:val="000000"/>
                <w:kern w:val="0"/>
                <w:szCs w:val="18"/>
                <w:shd w:val="clear" w:color="auto" w:fill="FFFFFF" w:themeFill="background1"/>
              </w:rPr>
              <w:t xml:space="preserve">　</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30399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其他对个人和家庭的补助</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0.31</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30240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税金及附加费用</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18"/>
                <w:shd w:val="clear" w:color="auto" w:fill="FFFFFF" w:themeFill="background1"/>
              </w:rPr>
            </w:pPr>
            <w:r>
              <w:rPr>
                <w:rFonts w:ascii="宋体" w:eastAsia="宋体" w:hAnsi="宋体" w:cs="宋体" w:hint="eastAsia"/>
                <w:color w:val="000000"/>
                <w:kern w:val="0"/>
                <w:szCs w:val="18"/>
                <w:shd w:val="clear" w:color="auto" w:fill="FFFFFF" w:themeFill="background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18"/>
                <w:shd w:val="clear" w:color="auto" w:fill="FFFFFF" w:themeFill="background1"/>
              </w:rPr>
            </w:pPr>
            <w:r>
              <w:rPr>
                <w:rFonts w:ascii="宋体" w:eastAsia="宋体" w:hAnsi="宋体" w:cs="宋体" w:hint="eastAsia"/>
                <w:color w:val="000000"/>
                <w:kern w:val="0"/>
                <w:szCs w:val="18"/>
                <w:shd w:val="clear" w:color="auto" w:fill="FFFFFF" w:themeFill="background1"/>
              </w:rPr>
              <w:t xml:space="preserve">　</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57447D" w:rsidRDefault="0057447D">
            <w:pPr>
              <w:widowControl/>
              <w:jc w:val="center"/>
              <w:rPr>
                <w:rFonts w:ascii="宋体" w:eastAsia="宋体" w:hAnsi="宋体" w:cs="宋体"/>
                <w:color w:val="000000"/>
                <w:kern w:val="0"/>
                <w:szCs w:val="20"/>
                <w:shd w:val="clear" w:color="auto" w:fill="FFFFFF" w:themeFill="background1"/>
              </w:rPr>
            </w:pP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30299</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其他商品和服务支出</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9.15</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18"/>
                <w:shd w:val="clear" w:color="auto" w:fill="FFFFFF" w:themeFill="background1"/>
              </w:rPr>
            </w:pPr>
            <w:r>
              <w:rPr>
                <w:rFonts w:ascii="宋体" w:eastAsia="宋体" w:hAnsi="宋体" w:cs="宋体" w:hint="eastAsia"/>
                <w:color w:val="000000"/>
                <w:kern w:val="0"/>
                <w:szCs w:val="18"/>
                <w:shd w:val="clear" w:color="auto" w:fill="FFFFFF" w:themeFill="background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left"/>
              <w:rPr>
                <w:rFonts w:ascii="宋体" w:eastAsia="宋体" w:hAnsi="宋体" w:cs="宋体"/>
                <w:color w:val="000000"/>
                <w:kern w:val="0"/>
                <w:szCs w:val="18"/>
                <w:shd w:val="clear" w:color="auto" w:fill="FFFFFF" w:themeFill="background1"/>
              </w:rPr>
            </w:pPr>
            <w:r>
              <w:rPr>
                <w:rFonts w:ascii="宋体" w:eastAsia="宋体" w:hAnsi="宋体" w:cs="宋体" w:hint="eastAsia"/>
                <w:color w:val="000000"/>
                <w:kern w:val="0"/>
                <w:szCs w:val="18"/>
                <w:shd w:val="clear" w:color="auto" w:fill="FFFFFF" w:themeFill="background1"/>
              </w:rPr>
              <w:t xml:space="preserve">　</w:t>
            </w:r>
          </w:p>
        </w:tc>
        <w:tc>
          <w:tcPr>
            <w:tcW w:w="0" w:type="auto"/>
            <w:tcBorders>
              <w:top w:val="nil"/>
              <w:left w:val="nil"/>
              <w:bottom w:val="single" w:sz="4" w:space="0" w:color="auto"/>
              <w:right w:val="single" w:sz="4" w:space="0" w:color="auto"/>
            </w:tcBorders>
            <w:shd w:val="clear" w:color="auto" w:fill="auto"/>
            <w:noWrap/>
          </w:tcPr>
          <w:p w:rsidR="0057447D" w:rsidRDefault="007A4AFA">
            <w:pPr>
              <w:rPr>
                <w:shd w:val="clear" w:color="auto" w:fill="FFFFFF" w:themeFill="background1"/>
              </w:rPr>
            </w:pPr>
            <w:r>
              <w:rPr>
                <w:rFonts w:ascii="宋体" w:eastAsia="宋体" w:hAnsi="宋体" w:cs="宋体" w:hint="eastAsia"/>
                <w:color w:val="000000"/>
                <w:kern w:val="0"/>
                <w:szCs w:val="20"/>
                <w:shd w:val="clear" w:color="auto" w:fill="FFFFFF" w:themeFill="background1"/>
              </w:rPr>
              <w:t>0.00</w:t>
            </w:r>
          </w:p>
        </w:tc>
      </w:tr>
      <w:tr w:rsidR="0057447D">
        <w:trPr>
          <w:trHeight w:hRule="exact" w:val="28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人员经费合计</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715.72</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20"/>
                <w:shd w:val="clear" w:color="auto" w:fill="FFFFFF" w:themeFill="background1"/>
              </w:rPr>
            </w:pPr>
            <w:r>
              <w:rPr>
                <w:rFonts w:ascii="宋体" w:eastAsia="宋体" w:hAnsi="宋体" w:cs="宋体" w:hint="eastAsia"/>
                <w:color w:val="000000"/>
                <w:kern w:val="0"/>
                <w:szCs w:val="20"/>
                <w:shd w:val="clear" w:color="auto" w:fill="FFFFFF" w:themeFill="background1"/>
              </w:rPr>
              <w:t>公用经费合计</w:t>
            </w:r>
          </w:p>
        </w:tc>
        <w:tc>
          <w:tcPr>
            <w:tcW w:w="0" w:type="auto"/>
            <w:tcBorders>
              <w:top w:val="nil"/>
              <w:left w:val="nil"/>
              <w:bottom w:val="single" w:sz="4" w:space="0" w:color="auto"/>
              <w:right w:val="single" w:sz="4" w:space="0" w:color="auto"/>
            </w:tcBorders>
            <w:shd w:val="clear" w:color="auto" w:fill="auto"/>
            <w:noWrap/>
            <w:vAlign w:val="center"/>
          </w:tcPr>
          <w:p w:rsidR="0057447D" w:rsidRDefault="007A4AFA">
            <w:pPr>
              <w:widowControl/>
              <w:jc w:val="center"/>
              <w:rPr>
                <w:rFonts w:ascii="宋体" w:eastAsia="宋体" w:hAnsi="宋体" w:cs="宋体"/>
                <w:color w:val="000000"/>
                <w:kern w:val="0"/>
                <w:szCs w:val="18"/>
                <w:shd w:val="clear" w:color="auto" w:fill="FFFFFF" w:themeFill="background1"/>
              </w:rPr>
            </w:pPr>
            <w:r>
              <w:rPr>
                <w:rFonts w:ascii="宋体" w:eastAsia="宋体" w:hAnsi="宋体" w:cs="宋体" w:hint="eastAsia"/>
                <w:color w:val="000000"/>
                <w:kern w:val="0"/>
                <w:szCs w:val="18"/>
                <w:shd w:val="clear" w:color="auto" w:fill="FFFFFF" w:themeFill="background1"/>
              </w:rPr>
              <w:t>26.81</w:t>
            </w:r>
          </w:p>
        </w:tc>
      </w:tr>
      <w:tr w:rsidR="0057447D">
        <w:trPr>
          <w:trHeight w:hRule="exact" w:val="284"/>
        </w:trPr>
        <w:tc>
          <w:tcPr>
            <w:tcW w:w="0" w:type="auto"/>
            <w:gridSpan w:val="9"/>
            <w:tcBorders>
              <w:top w:val="nil"/>
              <w:left w:val="nil"/>
              <w:bottom w:val="nil"/>
              <w:right w:val="nil"/>
            </w:tcBorders>
            <w:shd w:val="clear" w:color="auto" w:fill="auto"/>
            <w:noWrap/>
            <w:vAlign w:val="center"/>
          </w:tcPr>
          <w:p w:rsidR="0057447D" w:rsidRDefault="007A4AFA">
            <w:pPr>
              <w:widowControl/>
              <w:jc w:val="left"/>
              <w:rPr>
                <w:rFonts w:ascii="宋体" w:eastAsia="宋体" w:hAnsi="宋体" w:cs="宋体"/>
                <w:color w:val="000000"/>
                <w:kern w:val="0"/>
                <w:szCs w:val="24"/>
                <w:shd w:val="clear" w:color="auto" w:fill="FFFFFF" w:themeFill="background1"/>
              </w:rPr>
            </w:pPr>
            <w:r>
              <w:rPr>
                <w:rFonts w:ascii="宋体" w:eastAsia="宋体" w:hAnsi="宋体" w:cs="宋体" w:hint="eastAsia"/>
                <w:color w:val="000000"/>
                <w:kern w:val="0"/>
                <w:szCs w:val="24"/>
                <w:shd w:val="clear" w:color="auto" w:fill="FFFFFF" w:themeFill="background1"/>
              </w:rPr>
              <w:t>注：本表反映部门本年度一般公共预算财政拨款基本支出明细情况。</w:t>
            </w:r>
          </w:p>
          <w:p w:rsidR="0057447D" w:rsidRDefault="0057447D">
            <w:pPr>
              <w:widowControl/>
              <w:jc w:val="left"/>
              <w:rPr>
                <w:rFonts w:ascii="宋体" w:eastAsia="宋体" w:hAnsi="宋体" w:cs="宋体"/>
                <w:color w:val="000000"/>
                <w:kern w:val="0"/>
                <w:szCs w:val="24"/>
                <w:shd w:val="clear" w:color="auto" w:fill="FFFFFF" w:themeFill="background1"/>
              </w:rPr>
            </w:pPr>
          </w:p>
          <w:p w:rsidR="0057447D" w:rsidRDefault="0057447D">
            <w:pPr>
              <w:widowControl/>
              <w:jc w:val="left"/>
              <w:rPr>
                <w:rFonts w:ascii="宋体" w:eastAsia="宋体" w:hAnsi="宋体" w:cs="宋体"/>
                <w:color w:val="000000"/>
                <w:kern w:val="0"/>
                <w:szCs w:val="24"/>
                <w:shd w:val="clear" w:color="auto" w:fill="FFFFFF" w:themeFill="background1"/>
              </w:rPr>
            </w:pPr>
          </w:p>
          <w:p w:rsidR="0057447D" w:rsidRDefault="0057447D">
            <w:pPr>
              <w:widowControl/>
              <w:jc w:val="left"/>
              <w:rPr>
                <w:rFonts w:ascii="宋体" w:eastAsia="宋体" w:hAnsi="宋体" w:cs="宋体"/>
                <w:color w:val="000000"/>
                <w:kern w:val="0"/>
                <w:szCs w:val="24"/>
                <w:shd w:val="clear" w:color="auto" w:fill="FFFFFF" w:themeFill="background1"/>
              </w:rPr>
            </w:pPr>
          </w:p>
          <w:p w:rsidR="0057447D" w:rsidRDefault="0057447D">
            <w:pPr>
              <w:widowControl/>
              <w:jc w:val="left"/>
              <w:rPr>
                <w:rFonts w:ascii="宋体" w:eastAsia="宋体" w:hAnsi="宋体" w:cs="宋体"/>
                <w:color w:val="000000"/>
                <w:kern w:val="0"/>
                <w:szCs w:val="24"/>
                <w:shd w:val="clear" w:color="auto" w:fill="FFFFFF" w:themeFill="background1"/>
              </w:rPr>
            </w:pPr>
          </w:p>
        </w:tc>
      </w:tr>
    </w:tbl>
    <w:p w:rsidR="0057447D" w:rsidRDefault="0057447D">
      <w:pPr>
        <w:widowControl/>
        <w:rPr>
          <w:rFonts w:ascii="Times New Roman" w:eastAsia="方正小标宋_GBK" w:hAnsi="Times New Roman" w:cs="Times New Roman"/>
          <w:color w:val="000000"/>
          <w:kern w:val="0"/>
          <w:sz w:val="36"/>
          <w:szCs w:val="36"/>
          <w:shd w:val="clear" w:color="auto" w:fill="FFFFFF" w:themeFill="background1"/>
        </w:rPr>
      </w:pPr>
    </w:p>
    <w:p w:rsidR="0057447D" w:rsidRDefault="007A4AFA">
      <w:pPr>
        <w:widowControl/>
        <w:jc w:val="center"/>
        <w:rPr>
          <w:rFonts w:ascii="Times New Roman" w:eastAsia="方正小标宋_GBK" w:hAnsi="Times New Roman" w:cs="Times New Roman"/>
          <w:color w:val="000000"/>
          <w:kern w:val="0"/>
          <w:sz w:val="36"/>
          <w:szCs w:val="36"/>
          <w:shd w:val="clear" w:color="auto" w:fill="FFFFFF" w:themeFill="background1"/>
        </w:rPr>
      </w:pPr>
      <w:r>
        <w:rPr>
          <w:rFonts w:ascii="Times New Roman" w:eastAsia="方正小标宋_GBK" w:hAnsi="Times New Roman" w:cs="Times New Roman" w:hint="eastAsia"/>
          <w:color w:val="000000"/>
          <w:kern w:val="0"/>
          <w:sz w:val="36"/>
          <w:szCs w:val="36"/>
          <w:shd w:val="clear" w:color="auto" w:fill="FFFFFF" w:themeFill="background1"/>
        </w:rPr>
        <w:t>一般公共预算财政拨款“三公”经费支出决算表</w:t>
      </w:r>
    </w:p>
    <w:p w:rsidR="0057447D" w:rsidRDefault="007A4AFA">
      <w:pPr>
        <w:widowControl/>
        <w:jc w:val="left"/>
        <w:rPr>
          <w:rFonts w:ascii="Times New Roman" w:eastAsia="仿宋_GB2312" w:hAnsi="Times New Roman" w:cs="Times New Roman"/>
          <w:color w:val="000000"/>
          <w:kern w:val="0"/>
          <w:szCs w:val="21"/>
          <w:shd w:val="clear" w:color="auto" w:fill="FFFFFF" w:themeFill="background1"/>
        </w:rPr>
      </w:pPr>
      <w:r>
        <w:rPr>
          <w:rFonts w:ascii="Times New Roman" w:eastAsia="仿宋_GB2312" w:hAnsi="Times New Roman" w:cs="Times New Roman"/>
          <w:color w:val="000000"/>
          <w:kern w:val="0"/>
          <w:szCs w:val="21"/>
          <w:shd w:val="clear" w:color="auto" w:fill="FFFFFF" w:themeFill="background1"/>
        </w:rPr>
        <w:t>部门：公开</w:t>
      </w:r>
      <w:r>
        <w:rPr>
          <w:rFonts w:ascii="Times New Roman" w:eastAsia="仿宋_GB2312" w:hAnsi="Times New Roman" w:cs="Times New Roman"/>
          <w:color w:val="000000"/>
          <w:kern w:val="0"/>
          <w:szCs w:val="21"/>
          <w:shd w:val="clear" w:color="auto" w:fill="FFFFFF" w:themeFill="background1"/>
        </w:rPr>
        <w:t>0</w:t>
      </w:r>
      <w:r>
        <w:rPr>
          <w:rFonts w:ascii="Times New Roman" w:eastAsia="仿宋_GB2312" w:hAnsi="Times New Roman" w:cs="Times New Roman" w:hint="eastAsia"/>
          <w:color w:val="000000"/>
          <w:kern w:val="0"/>
          <w:szCs w:val="21"/>
          <w:shd w:val="clear" w:color="auto" w:fill="FFFFFF" w:themeFill="background1"/>
        </w:rPr>
        <w:t>7</w:t>
      </w:r>
      <w:r>
        <w:rPr>
          <w:rFonts w:ascii="Times New Roman" w:eastAsia="仿宋_GB2312" w:hAnsi="Times New Roman" w:cs="Times New Roman"/>
          <w:color w:val="000000"/>
          <w:kern w:val="0"/>
          <w:szCs w:val="21"/>
          <w:shd w:val="clear" w:color="auto" w:fill="FFFFFF" w:themeFill="background1"/>
        </w:rPr>
        <w:t>表单位：万元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57447D">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决算数</w:t>
            </w:r>
          </w:p>
        </w:tc>
      </w:tr>
      <w:tr w:rsidR="0057447D">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公务</w:t>
            </w:r>
          </w:p>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公务</w:t>
            </w:r>
          </w:p>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接待费</w:t>
            </w:r>
          </w:p>
        </w:tc>
      </w:tr>
      <w:tr w:rsidR="0057447D">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1220" w:type="dxa"/>
            <w:vMerge/>
            <w:tcBorders>
              <w:top w:val="nil"/>
              <w:left w:val="single" w:sz="4" w:space="0" w:color="auto"/>
              <w:bottom w:val="single" w:sz="4" w:space="0" w:color="000000"/>
              <w:right w:val="single" w:sz="4" w:space="0" w:color="auto"/>
            </w:tcBorders>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小计</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公务用车</w:t>
            </w:r>
            <w:r>
              <w:rPr>
                <w:rFonts w:ascii="Times New Roman" w:eastAsia="仿宋_GB2312" w:hAnsi="Times New Roman" w:cs="Times New Roman"/>
                <w:kern w:val="0"/>
                <w:szCs w:val="21"/>
                <w:shd w:val="clear" w:color="auto" w:fill="FFFFFF" w:themeFill="background1"/>
              </w:rPr>
              <w:br/>
            </w:r>
            <w:r>
              <w:rPr>
                <w:rFonts w:ascii="Times New Roman" w:eastAsia="仿宋_GB2312" w:hAnsi="Times New Roman" w:cs="Times New Roman"/>
                <w:kern w:val="0"/>
                <w:szCs w:val="21"/>
                <w:shd w:val="clear" w:color="auto" w:fill="FFFFFF" w:themeFill="background1"/>
              </w:rPr>
              <w:t>购置费</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公务用车</w:t>
            </w:r>
            <w:r>
              <w:rPr>
                <w:rFonts w:ascii="Times New Roman" w:eastAsia="仿宋_GB2312" w:hAnsi="Times New Roman" w:cs="Times New Roman"/>
                <w:kern w:val="0"/>
                <w:szCs w:val="21"/>
                <w:shd w:val="clear" w:color="auto" w:fill="FFFFFF" w:themeFill="background1"/>
              </w:rPr>
              <w:br/>
            </w:r>
            <w:r>
              <w:rPr>
                <w:rFonts w:ascii="Times New Roman" w:eastAsia="仿宋_GB2312" w:hAnsi="Times New Roman" w:cs="Times New Roman"/>
                <w:kern w:val="0"/>
                <w:szCs w:val="21"/>
                <w:shd w:val="clear" w:color="auto" w:fill="FFFFFF" w:themeFill="background1"/>
              </w:rPr>
              <w:t>运行费</w:t>
            </w:r>
          </w:p>
        </w:tc>
        <w:tc>
          <w:tcPr>
            <w:tcW w:w="1220" w:type="dxa"/>
            <w:vMerge/>
            <w:tcBorders>
              <w:top w:val="nil"/>
              <w:left w:val="single" w:sz="4" w:space="0" w:color="auto"/>
              <w:bottom w:val="single" w:sz="4" w:space="0" w:color="auto"/>
              <w:right w:val="single" w:sz="4" w:space="0" w:color="auto"/>
            </w:tcBorders>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1220" w:type="dxa"/>
            <w:vMerge/>
            <w:tcBorders>
              <w:top w:val="nil"/>
              <w:left w:val="nil"/>
              <w:bottom w:val="single" w:sz="4" w:space="0" w:color="000000"/>
              <w:right w:val="single" w:sz="4" w:space="0" w:color="auto"/>
            </w:tcBorders>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1220" w:type="dxa"/>
            <w:vMerge/>
            <w:tcBorders>
              <w:top w:val="nil"/>
              <w:left w:val="single" w:sz="4" w:space="0" w:color="auto"/>
              <w:bottom w:val="single" w:sz="4" w:space="0" w:color="000000"/>
              <w:right w:val="single" w:sz="4" w:space="0" w:color="auto"/>
            </w:tcBorders>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小计</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公务用车</w:t>
            </w:r>
            <w:r>
              <w:rPr>
                <w:rFonts w:ascii="Times New Roman" w:eastAsia="仿宋_GB2312" w:hAnsi="Times New Roman" w:cs="Times New Roman"/>
                <w:kern w:val="0"/>
                <w:szCs w:val="21"/>
                <w:shd w:val="clear" w:color="auto" w:fill="FFFFFF" w:themeFill="background1"/>
              </w:rPr>
              <w:br/>
            </w:r>
            <w:r>
              <w:rPr>
                <w:rFonts w:ascii="Times New Roman" w:eastAsia="仿宋_GB2312" w:hAnsi="Times New Roman" w:cs="Times New Roman"/>
                <w:kern w:val="0"/>
                <w:szCs w:val="21"/>
                <w:shd w:val="clear" w:color="auto" w:fill="FFFFFF" w:themeFill="background1"/>
              </w:rPr>
              <w:t>购置费</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公务用车</w:t>
            </w:r>
            <w:r>
              <w:rPr>
                <w:rFonts w:ascii="Times New Roman" w:eastAsia="仿宋_GB2312" w:hAnsi="Times New Roman" w:cs="Times New Roman"/>
                <w:kern w:val="0"/>
                <w:szCs w:val="21"/>
                <w:shd w:val="clear" w:color="auto" w:fill="FFFFFF" w:themeFill="background1"/>
              </w:rPr>
              <w:br/>
            </w:r>
            <w:r>
              <w:rPr>
                <w:rFonts w:ascii="Times New Roman" w:eastAsia="仿宋_GB2312" w:hAnsi="Times New Roman" w:cs="Times New Roman"/>
                <w:kern w:val="0"/>
                <w:szCs w:val="21"/>
                <w:shd w:val="clear" w:color="auto" w:fill="FFFFFF" w:themeFill="background1"/>
              </w:rPr>
              <w:t>运行费</w:t>
            </w:r>
          </w:p>
        </w:tc>
        <w:tc>
          <w:tcPr>
            <w:tcW w:w="1220" w:type="dxa"/>
            <w:vMerge/>
            <w:tcBorders>
              <w:top w:val="nil"/>
              <w:left w:val="single" w:sz="4" w:space="0" w:color="auto"/>
              <w:bottom w:val="single" w:sz="4" w:space="0" w:color="000000"/>
              <w:right w:val="single" w:sz="8" w:space="0" w:color="auto"/>
            </w:tcBorders>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r>
      <w:tr w:rsidR="0057447D">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1</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2</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3</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4</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5</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6</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7</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8</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9</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10</w:t>
            </w:r>
          </w:p>
        </w:tc>
        <w:tc>
          <w:tcPr>
            <w:tcW w:w="1220"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11</w:t>
            </w:r>
          </w:p>
        </w:tc>
        <w:tc>
          <w:tcPr>
            <w:tcW w:w="1220" w:type="dxa"/>
            <w:tcBorders>
              <w:top w:val="nil"/>
              <w:left w:val="nil"/>
              <w:bottom w:val="single" w:sz="4" w:space="0" w:color="auto"/>
              <w:right w:val="single" w:sz="8" w:space="0" w:color="auto"/>
            </w:tcBorders>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12</w:t>
            </w:r>
          </w:p>
        </w:tc>
      </w:tr>
      <w:tr w:rsidR="0057447D">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r>
              <w:rPr>
                <w:rFonts w:ascii="Times New Roman" w:eastAsia="仿宋_GB2312" w:hAnsi="Times New Roman" w:cs="Times New Roman" w:hint="eastAsia"/>
                <w:kern w:val="0"/>
                <w:szCs w:val="21"/>
                <w:shd w:val="clear" w:color="auto" w:fill="FFFFFF" w:themeFill="background1"/>
              </w:rPr>
              <w:t>34</w:t>
            </w:r>
          </w:p>
        </w:tc>
        <w:tc>
          <w:tcPr>
            <w:tcW w:w="1220" w:type="dxa"/>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r>
              <w:rPr>
                <w:rFonts w:ascii="Times New Roman" w:eastAsia="仿宋_GB2312" w:hAnsi="Times New Roman" w:cs="Times New Roman" w:hint="eastAsia"/>
                <w:kern w:val="0"/>
                <w:szCs w:val="21"/>
                <w:shd w:val="clear" w:color="auto" w:fill="FFFFFF" w:themeFill="background1"/>
              </w:rPr>
              <w:t>0</w:t>
            </w:r>
          </w:p>
        </w:tc>
        <w:tc>
          <w:tcPr>
            <w:tcW w:w="1220" w:type="dxa"/>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r>
              <w:rPr>
                <w:rFonts w:ascii="Times New Roman" w:eastAsia="仿宋_GB2312" w:hAnsi="Times New Roman" w:cs="Times New Roman" w:hint="eastAsia"/>
                <w:kern w:val="0"/>
                <w:szCs w:val="21"/>
                <w:shd w:val="clear" w:color="auto" w:fill="FFFFFF" w:themeFill="background1"/>
              </w:rPr>
              <w:t>34</w:t>
            </w:r>
          </w:p>
        </w:tc>
        <w:tc>
          <w:tcPr>
            <w:tcW w:w="1220" w:type="dxa"/>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r>
              <w:rPr>
                <w:rFonts w:ascii="Times New Roman" w:eastAsia="仿宋_GB2312" w:hAnsi="Times New Roman" w:cs="Times New Roman" w:hint="eastAsia"/>
                <w:kern w:val="0"/>
                <w:szCs w:val="21"/>
                <w:shd w:val="clear" w:color="auto" w:fill="FFFFFF" w:themeFill="background1"/>
              </w:rPr>
              <w:t>0</w:t>
            </w:r>
          </w:p>
        </w:tc>
        <w:tc>
          <w:tcPr>
            <w:tcW w:w="1220" w:type="dxa"/>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r>
              <w:rPr>
                <w:rFonts w:ascii="Times New Roman" w:eastAsia="仿宋_GB2312" w:hAnsi="Times New Roman" w:cs="Times New Roman" w:hint="eastAsia"/>
                <w:kern w:val="0"/>
                <w:szCs w:val="21"/>
                <w:shd w:val="clear" w:color="auto" w:fill="FFFFFF" w:themeFill="background1"/>
              </w:rPr>
              <w:t>17</w:t>
            </w:r>
          </w:p>
        </w:tc>
        <w:tc>
          <w:tcPr>
            <w:tcW w:w="1220" w:type="dxa"/>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17</w:t>
            </w:r>
          </w:p>
        </w:tc>
        <w:tc>
          <w:tcPr>
            <w:tcW w:w="1220" w:type="dxa"/>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r>
              <w:rPr>
                <w:rFonts w:ascii="Times New Roman" w:eastAsia="仿宋_GB2312" w:hAnsi="Times New Roman" w:cs="Times New Roman" w:hint="eastAsia"/>
                <w:kern w:val="0"/>
                <w:szCs w:val="21"/>
                <w:shd w:val="clear" w:color="auto" w:fill="FFFFFF" w:themeFill="background1"/>
              </w:rPr>
              <w:t>5.55</w:t>
            </w:r>
          </w:p>
        </w:tc>
        <w:tc>
          <w:tcPr>
            <w:tcW w:w="1220" w:type="dxa"/>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r>
              <w:rPr>
                <w:rFonts w:ascii="Times New Roman" w:eastAsia="仿宋_GB2312" w:hAnsi="Times New Roman" w:cs="Times New Roman" w:hint="eastAsia"/>
                <w:kern w:val="0"/>
                <w:szCs w:val="21"/>
                <w:shd w:val="clear" w:color="auto" w:fill="FFFFFF" w:themeFill="background1"/>
              </w:rPr>
              <w:t>0</w:t>
            </w:r>
          </w:p>
        </w:tc>
        <w:tc>
          <w:tcPr>
            <w:tcW w:w="1220" w:type="dxa"/>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r>
              <w:rPr>
                <w:rFonts w:ascii="Times New Roman" w:eastAsia="仿宋_GB2312" w:hAnsi="Times New Roman" w:cs="Times New Roman" w:hint="eastAsia"/>
                <w:kern w:val="0"/>
                <w:szCs w:val="21"/>
                <w:shd w:val="clear" w:color="auto" w:fill="FFFFFF" w:themeFill="background1"/>
              </w:rPr>
              <w:t>4.73</w:t>
            </w:r>
          </w:p>
        </w:tc>
        <w:tc>
          <w:tcPr>
            <w:tcW w:w="1220" w:type="dxa"/>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r>
              <w:rPr>
                <w:rFonts w:ascii="Times New Roman" w:eastAsia="仿宋_GB2312" w:hAnsi="Times New Roman" w:cs="Times New Roman" w:hint="eastAsia"/>
                <w:kern w:val="0"/>
                <w:szCs w:val="21"/>
                <w:shd w:val="clear" w:color="auto" w:fill="FFFFFF" w:themeFill="background1"/>
              </w:rPr>
              <w:t>0</w:t>
            </w:r>
          </w:p>
        </w:tc>
        <w:tc>
          <w:tcPr>
            <w:tcW w:w="1220" w:type="dxa"/>
            <w:tcBorders>
              <w:top w:val="nil"/>
              <w:left w:val="nil"/>
              <w:bottom w:val="single" w:sz="8" w:space="0" w:color="auto"/>
              <w:right w:val="nil"/>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r>
              <w:rPr>
                <w:rFonts w:ascii="Times New Roman" w:eastAsia="仿宋_GB2312" w:hAnsi="Times New Roman" w:cs="Times New Roman" w:hint="eastAsia"/>
                <w:kern w:val="0"/>
                <w:szCs w:val="21"/>
                <w:shd w:val="clear" w:color="auto" w:fill="FFFFFF" w:themeFill="background1"/>
              </w:rPr>
              <w:t>4.73</w:t>
            </w:r>
          </w:p>
        </w:tc>
        <w:tc>
          <w:tcPr>
            <w:tcW w:w="1220" w:type="dxa"/>
            <w:tcBorders>
              <w:top w:val="nil"/>
              <w:left w:val="single" w:sz="4" w:space="0" w:color="auto"/>
              <w:bottom w:val="single" w:sz="8" w:space="0" w:color="auto"/>
              <w:right w:val="single" w:sz="8" w:space="0" w:color="auto"/>
            </w:tcBorders>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r>
              <w:rPr>
                <w:rFonts w:ascii="Times New Roman" w:eastAsia="仿宋_GB2312" w:hAnsi="Times New Roman" w:cs="Times New Roman" w:hint="eastAsia"/>
                <w:kern w:val="0"/>
                <w:szCs w:val="21"/>
                <w:shd w:val="clear" w:color="auto" w:fill="FFFFFF" w:themeFill="background1"/>
              </w:rPr>
              <w:t>0.82</w:t>
            </w:r>
          </w:p>
        </w:tc>
      </w:tr>
    </w:tbl>
    <w:p w:rsidR="0057447D" w:rsidRDefault="007A4AFA">
      <w:pPr>
        <w:widowControl/>
        <w:jc w:val="left"/>
        <w:rPr>
          <w:rFonts w:ascii="宋体" w:eastAsia="宋体" w:cs="宋体"/>
          <w:kern w:val="0"/>
          <w:sz w:val="24"/>
          <w:szCs w:val="24"/>
          <w:shd w:val="clear" w:color="auto" w:fill="FFFFFF" w:themeFill="background1"/>
        </w:rPr>
      </w:pPr>
      <w:r>
        <w:rPr>
          <w:rFonts w:ascii="宋体" w:eastAsia="宋体" w:cs="宋体" w:hint="eastAsia"/>
          <w:kern w:val="0"/>
          <w:sz w:val="24"/>
          <w:szCs w:val="24"/>
          <w:shd w:val="clear" w:color="auto" w:fill="FFFFFF" w:themeFill="background1"/>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shd w:val="clear" w:color="auto" w:fill="FFFFFF" w:themeFill="background1"/>
        </w:rPr>
        <w:br w:type="page"/>
      </w:r>
    </w:p>
    <w:p w:rsidR="0057447D" w:rsidRDefault="0057447D" w:rsidP="00D80294">
      <w:pPr>
        <w:autoSpaceDE w:val="0"/>
        <w:autoSpaceDN w:val="0"/>
        <w:adjustRightInd w:val="0"/>
        <w:ind w:leftChars="150" w:left="315"/>
        <w:jc w:val="left"/>
        <w:rPr>
          <w:rFonts w:ascii="宋体" w:eastAsia="宋体" w:cs="宋体"/>
          <w:kern w:val="0"/>
          <w:sz w:val="24"/>
          <w:szCs w:val="24"/>
          <w:shd w:val="clear" w:color="auto" w:fill="FFFFFF" w:themeFill="background1"/>
        </w:rPr>
      </w:pPr>
    </w:p>
    <w:p w:rsidR="0057447D" w:rsidRDefault="007A4AFA">
      <w:pPr>
        <w:widowControl/>
        <w:jc w:val="center"/>
        <w:rPr>
          <w:rFonts w:ascii="Times New Roman" w:eastAsia="方正小标宋_GBK" w:hAnsi="Times New Roman" w:cs="Times New Roman"/>
          <w:kern w:val="0"/>
          <w:sz w:val="36"/>
          <w:szCs w:val="36"/>
          <w:shd w:val="clear" w:color="auto" w:fill="FFFFFF" w:themeFill="background1"/>
        </w:rPr>
      </w:pPr>
      <w:r>
        <w:rPr>
          <w:rFonts w:ascii="Times New Roman" w:eastAsia="方正小标宋_GBK" w:hAnsi="Times New Roman" w:cs="Times New Roman"/>
          <w:kern w:val="0"/>
          <w:sz w:val="36"/>
          <w:szCs w:val="36"/>
          <w:shd w:val="clear" w:color="auto" w:fill="FFFFFF" w:themeFill="background1"/>
        </w:rPr>
        <w:t>政府性基金预算财政拨款收入支出决算表</w:t>
      </w:r>
    </w:p>
    <w:p w:rsidR="0057447D" w:rsidRDefault="007A4AFA">
      <w:pPr>
        <w:widowControl/>
        <w:wordWrap w:val="0"/>
        <w:jc w:val="right"/>
        <w:rPr>
          <w:rFonts w:ascii="Times New Roman" w:eastAsia="仿宋_GB2312" w:hAnsi="Times New Roman" w:cs="Times New Roman"/>
          <w:color w:val="000000"/>
          <w:kern w:val="0"/>
          <w:szCs w:val="21"/>
          <w:shd w:val="clear" w:color="auto" w:fill="FFFFFF" w:themeFill="background1"/>
        </w:rPr>
      </w:pPr>
      <w:r>
        <w:rPr>
          <w:rFonts w:ascii="Times New Roman" w:eastAsia="仿宋_GB2312" w:hAnsi="Times New Roman" w:cs="Times New Roman"/>
          <w:color w:val="000000"/>
          <w:kern w:val="0"/>
          <w:szCs w:val="21"/>
          <w:shd w:val="clear" w:color="auto" w:fill="FFFFFF" w:themeFill="background1"/>
        </w:rPr>
        <w:t>部门：公开</w:t>
      </w:r>
      <w:r>
        <w:rPr>
          <w:rFonts w:ascii="Times New Roman" w:eastAsia="仿宋_GB2312" w:hAnsi="Times New Roman" w:cs="Times New Roman"/>
          <w:color w:val="000000"/>
          <w:kern w:val="0"/>
          <w:szCs w:val="21"/>
          <w:shd w:val="clear" w:color="auto" w:fill="FFFFFF" w:themeFill="background1"/>
        </w:rPr>
        <w:t>08</w:t>
      </w:r>
      <w:r>
        <w:rPr>
          <w:rFonts w:ascii="Times New Roman" w:eastAsia="仿宋_GB2312" w:hAnsi="Times New Roman" w:cs="Times New Roman"/>
          <w:color w:val="000000"/>
          <w:kern w:val="0"/>
          <w:szCs w:val="21"/>
          <w:shd w:val="clear" w:color="auto" w:fill="FFFFFF" w:themeFill="background1"/>
        </w:rPr>
        <w:t>表</w:t>
      </w:r>
    </w:p>
    <w:p w:rsidR="0057447D" w:rsidRDefault="007A4AFA">
      <w:pPr>
        <w:widowControl/>
        <w:jc w:val="right"/>
        <w:rPr>
          <w:rFonts w:ascii="Times New Roman" w:eastAsia="仿宋_GB2312" w:hAnsi="Times New Roman" w:cs="Times New Roman"/>
          <w:color w:val="000000"/>
          <w:kern w:val="0"/>
          <w:szCs w:val="21"/>
          <w:shd w:val="clear" w:color="auto" w:fill="FFFFFF" w:themeFill="background1"/>
        </w:rPr>
      </w:pPr>
      <w:r>
        <w:rPr>
          <w:rFonts w:ascii="Times New Roman" w:eastAsia="仿宋_GB2312" w:hAnsi="Times New Roman" w:cs="Times New Roman"/>
          <w:color w:val="000000"/>
          <w:kern w:val="0"/>
          <w:szCs w:val="21"/>
          <w:shd w:val="clear" w:color="auto" w:fill="FFFFFF" w:themeFill="background1"/>
        </w:rPr>
        <w:t>单位：万元</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30"/>
        <w:gridCol w:w="3514"/>
        <w:gridCol w:w="2249"/>
        <w:gridCol w:w="1408"/>
        <w:gridCol w:w="849"/>
        <w:gridCol w:w="1408"/>
        <w:gridCol w:w="1408"/>
        <w:gridCol w:w="2248"/>
      </w:tblGrid>
      <w:tr w:rsidR="0057447D">
        <w:trPr>
          <w:trHeight w:val="454"/>
          <w:jc w:val="center"/>
        </w:trPr>
        <w:tc>
          <w:tcPr>
            <w:tcW w:w="1935" w:type="pct"/>
            <w:gridSpan w:val="2"/>
            <w:shd w:val="clear" w:color="auto" w:fill="auto"/>
            <w:vAlign w:val="center"/>
          </w:tcPr>
          <w:p w:rsidR="0057447D" w:rsidRDefault="007A4AFA">
            <w:pPr>
              <w:widowControl/>
              <w:jc w:val="center"/>
              <w:rPr>
                <w:rFonts w:ascii="Times New Roman" w:eastAsia="仿宋_GB2312" w:hAnsi="Times New Roman" w:cs="Times New Roman"/>
                <w:b/>
                <w:kern w:val="0"/>
                <w:szCs w:val="21"/>
                <w:shd w:val="clear" w:color="auto" w:fill="FFFFFF" w:themeFill="background1"/>
              </w:rPr>
            </w:pPr>
            <w:r>
              <w:rPr>
                <w:rFonts w:ascii="Times New Roman" w:eastAsia="仿宋_GB2312" w:hAnsi="Times New Roman" w:cs="Times New Roman"/>
                <w:b/>
                <w:kern w:val="0"/>
                <w:szCs w:val="21"/>
                <w:shd w:val="clear" w:color="auto" w:fill="FFFFFF" w:themeFill="background1"/>
              </w:rPr>
              <w:t>项目</w:t>
            </w:r>
          </w:p>
        </w:tc>
        <w:tc>
          <w:tcPr>
            <w:tcW w:w="720" w:type="pct"/>
            <w:vMerge w:val="restart"/>
            <w:shd w:val="clear" w:color="auto" w:fill="auto"/>
            <w:vAlign w:val="center"/>
          </w:tcPr>
          <w:p w:rsidR="0057447D" w:rsidRDefault="007A4AFA">
            <w:pPr>
              <w:widowControl/>
              <w:jc w:val="center"/>
              <w:rPr>
                <w:rFonts w:ascii="Times New Roman" w:eastAsia="仿宋_GB2312" w:hAnsi="Times New Roman" w:cs="Times New Roman"/>
                <w:b/>
                <w:kern w:val="0"/>
                <w:szCs w:val="21"/>
                <w:shd w:val="clear" w:color="auto" w:fill="FFFFFF" w:themeFill="background1"/>
              </w:rPr>
            </w:pPr>
            <w:r>
              <w:rPr>
                <w:rFonts w:ascii="Times New Roman" w:eastAsia="仿宋_GB2312" w:hAnsi="Times New Roman" w:cs="Times New Roman"/>
                <w:b/>
                <w:kern w:val="0"/>
                <w:szCs w:val="21"/>
                <w:shd w:val="clear" w:color="auto" w:fill="FFFFFF" w:themeFill="background1"/>
              </w:rPr>
              <w:t>年初结转和结余</w:t>
            </w:r>
          </w:p>
        </w:tc>
        <w:tc>
          <w:tcPr>
            <w:tcW w:w="451" w:type="pct"/>
            <w:vMerge w:val="restart"/>
            <w:shd w:val="clear" w:color="auto" w:fill="auto"/>
            <w:vAlign w:val="center"/>
          </w:tcPr>
          <w:p w:rsidR="0057447D" w:rsidRDefault="007A4AFA">
            <w:pPr>
              <w:widowControl/>
              <w:jc w:val="center"/>
              <w:rPr>
                <w:rFonts w:ascii="Times New Roman" w:eastAsia="仿宋_GB2312" w:hAnsi="Times New Roman" w:cs="Times New Roman"/>
                <w:b/>
                <w:kern w:val="0"/>
                <w:szCs w:val="21"/>
                <w:shd w:val="clear" w:color="auto" w:fill="FFFFFF" w:themeFill="background1"/>
              </w:rPr>
            </w:pPr>
            <w:r>
              <w:rPr>
                <w:rFonts w:ascii="Times New Roman" w:eastAsia="仿宋_GB2312" w:hAnsi="Times New Roman" w:cs="Times New Roman"/>
                <w:b/>
                <w:kern w:val="0"/>
                <w:szCs w:val="21"/>
                <w:shd w:val="clear" w:color="auto" w:fill="FFFFFF" w:themeFill="background1"/>
              </w:rPr>
              <w:t>本年收入</w:t>
            </w:r>
          </w:p>
        </w:tc>
        <w:tc>
          <w:tcPr>
            <w:tcW w:w="1174" w:type="pct"/>
            <w:gridSpan w:val="3"/>
            <w:shd w:val="clear" w:color="auto" w:fill="auto"/>
            <w:vAlign w:val="center"/>
          </w:tcPr>
          <w:p w:rsidR="0057447D" w:rsidRDefault="007A4AFA">
            <w:pPr>
              <w:widowControl/>
              <w:jc w:val="center"/>
              <w:rPr>
                <w:rFonts w:ascii="Times New Roman" w:eastAsia="仿宋_GB2312" w:hAnsi="Times New Roman" w:cs="Times New Roman"/>
                <w:b/>
                <w:kern w:val="0"/>
                <w:szCs w:val="21"/>
                <w:shd w:val="clear" w:color="auto" w:fill="FFFFFF" w:themeFill="background1"/>
              </w:rPr>
            </w:pPr>
            <w:r>
              <w:rPr>
                <w:rFonts w:ascii="Times New Roman" w:eastAsia="仿宋_GB2312" w:hAnsi="Times New Roman" w:cs="Times New Roman"/>
                <w:b/>
                <w:kern w:val="0"/>
                <w:szCs w:val="21"/>
                <w:shd w:val="clear" w:color="auto" w:fill="FFFFFF" w:themeFill="background1"/>
              </w:rPr>
              <w:t>本年支出</w:t>
            </w:r>
          </w:p>
        </w:tc>
        <w:tc>
          <w:tcPr>
            <w:tcW w:w="720" w:type="pct"/>
            <w:vMerge w:val="restart"/>
            <w:shd w:val="clear" w:color="auto" w:fill="auto"/>
            <w:vAlign w:val="center"/>
          </w:tcPr>
          <w:p w:rsidR="0057447D" w:rsidRDefault="007A4AFA">
            <w:pPr>
              <w:widowControl/>
              <w:jc w:val="center"/>
              <w:rPr>
                <w:rFonts w:ascii="Times New Roman" w:eastAsia="仿宋_GB2312" w:hAnsi="Times New Roman" w:cs="Times New Roman"/>
                <w:b/>
                <w:kern w:val="0"/>
                <w:szCs w:val="21"/>
                <w:shd w:val="clear" w:color="auto" w:fill="FFFFFF" w:themeFill="background1"/>
              </w:rPr>
            </w:pPr>
            <w:r>
              <w:rPr>
                <w:rFonts w:ascii="Times New Roman" w:eastAsia="仿宋_GB2312" w:hAnsi="Times New Roman" w:cs="Times New Roman"/>
                <w:b/>
                <w:kern w:val="0"/>
                <w:szCs w:val="21"/>
                <w:shd w:val="clear" w:color="auto" w:fill="FFFFFF" w:themeFill="background1"/>
              </w:rPr>
              <w:t>年末结转和结余</w:t>
            </w:r>
          </w:p>
        </w:tc>
      </w:tr>
      <w:tr w:rsidR="0057447D">
        <w:trPr>
          <w:trHeight w:val="454"/>
          <w:jc w:val="center"/>
        </w:trPr>
        <w:tc>
          <w:tcPr>
            <w:tcW w:w="810" w:type="pct"/>
            <w:vMerge w:val="restart"/>
            <w:shd w:val="clear" w:color="auto" w:fill="auto"/>
            <w:vAlign w:val="center"/>
          </w:tcPr>
          <w:p w:rsidR="0057447D" w:rsidRDefault="007A4AFA">
            <w:pPr>
              <w:widowControl/>
              <w:jc w:val="center"/>
              <w:rPr>
                <w:rFonts w:ascii="Times New Roman" w:eastAsia="仿宋_GB2312" w:hAnsi="Times New Roman" w:cs="Times New Roman"/>
                <w:b/>
                <w:kern w:val="0"/>
                <w:szCs w:val="21"/>
                <w:shd w:val="clear" w:color="auto" w:fill="FFFFFF" w:themeFill="background1"/>
              </w:rPr>
            </w:pPr>
            <w:r>
              <w:rPr>
                <w:rFonts w:ascii="Times New Roman" w:eastAsia="仿宋_GB2312" w:hAnsi="Times New Roman" w:cs="Times New Roman"/>
                <w:b/>
                <w:kern w:val="0"/>
                <w:szCs w:val="21"/>
                <w:shd w:val="clear" w:color="auto" w:fill="FFFFFF" w:themeFill="background1"/>
              </w:rPr>
              <w:t>功能分类科目编码</w:t>
            </w:r>
          </w:p>
        </w:tc>
        <w:tc>
          <w:tcPr>
            <w:tcW w:w="1125" w:type="pct"/>
            <w:vMerge w:val="restart"/>
            <w:shd w:val="clear" w:color="auto" w:fill="auto"/>
            <w:vAlign w:val="center"/>
          </w:tcPr>
          <w:p w:rsidR="0057447D" w:rsidRDefault="007A4AFA">
            <w:pPr>
              <w:widowControl/>
              <w:jc w:val="center"/>
              <w:rPr>
                <w:rFonts w:ascii="Times New Roman" w:eastAsia="仿宋_GB2312" w:hAnsi="Times New Roman" w:cs="Times New Roman"/>
                <w:b/>
                <w:kern w:val="0"/>
                <w:szCs w:val="21"/>
                <w:shd w:val="clear" w:color="auto" w:fill="FFFFFF" w:themeFill="background1"/>
              </w:rPr>
            </w:pPr>
            <w:r>
              <w:rPr>
                <w:rFonts w:ascii="Times New Roman" w:eastAsia="仿宋_GB2312" w:hAnsi="Times New Roman" w:cs="Times New Roman"/>
                <w:b/>
                <w:kern w:val="0"/>
                <w:szCs w:val="21"/>
                <w:shd w:val="clear" w:color="auto" w:fill="FFFFFF" w:themeFill="background1"/>
              </w:rPr>
              <w:t>科目名称</w:t>
            </w:r>
          </w:p>
        </w:tc>
        <w:tc>
          <w:tcPr>
            <w:tcW w:w="720" w:type="pct"/>
            <w:vMerge/>
            <w:vAlign w:val="center"/>
          </w:tcPr>
          <w:p w:rsidR="0057447D" w:rsidRDefault="0057447D">
            <w:pPr>
              <w:widowControl/>
              <w:jc w:val="left"/>
              <w:rPr>
                <w:rFonts w:ascii="Times New Roman" w:eastAsia="仿宋_GB2312" w:hAnsi="Times New Roman" w:cs="Times New Roman"/>
                <w:b/>
                <w:kern w:val="0"/>
                <w:szCs w:val="21"/>
                <w:shd w:val="clear" w:color="auto" w:fill="FFFFFF" w:themeFill="background1"/>
              </w:rPr>
            </w:pPr>
          </w:p>
        </w:tc>
        <w:tc>
          <w:tcPr>
            <w:tcW w:w="451" w:type="pct"/>
            <w:vMerge/>
            <w:vAlign w:val="center"/>
          </w:tcPr>
          <w:p w:rsidR="0057447D" w:rsidRDefault="0057447D">
            <w:pPr>
              <w:widowControl/>
              <w:jc w:val="left"/>
              <w:rPr>
                <w:rFonts w:ascii="Times New Roman" w:eastAsia="仿宋_GB2312" w:hAnsi="Times New Roman" w:cs="Times New Roman"/>
                <w:b/>
                <w:kern w:val="0"/>
                <w:szCs w:val="21"/>
                <w:shd w:val="clear" w:color="auto" w:fill="FFFFFF" w:themeFill="background1"/>
              </w:rPr>
            </w:pPr>
          </w:p>
        </w:tc>
        <w:tc>
          <w:tcPr>
            <w:tcW w:w="272" w:type="pct"/>
            <w:vMerge w:val="restart"/>
            <w:shd w:val="clear" w:color="auto" w:fill="auto"/>
            <w:vAlign w:val="center"/>
          </w:tcPr>
          <w:p w:rsidR="0057447D" w:rsidRDefault="007A4AFA">
            <w:pPr>
              <w:widowControl/>
              <w:jc w:val="center"/>
              <w:rPr>
                <w:rFonts w:ascii="Times New Roman" w:eastAsia="仿宋_GB2312" w:hAnsi="Times New Roman" w:cs="Times New Roman"/>
                <w:b/>
                <w:kern w:val="0"/>
                <w:szCs w:val="21"/>
                <w:shd w:val="clear" w:color="auto" w:fill="FFFFFF" w:themeFill="background1"/>
              </w:rPr>
            </w:pPr>
            <w:r>
              <w:rPr>
                <w:rFonts w:ascii="Times New Roman" w:eastAsia="仿宋_GB2312" w:hAnsi="Times New Roman" w:cs="Times New Roman"/>
                <w:b/>
                <w:kern w:val="0"/>
                <w:szCs w:val="21"/>
                <w:shd w:val="clear" w:color="auto" w:fill="FFFFFF" w:themeFill="background1"/>
              </w:rPr>
              <w:t>小计</w:t>
            </w:r>
          </w:p>
        </w:tc>
        <w:tc>
          <w:tcPr>
            <w:tcW w:w="451" w:type="pct"/>
            <w:vMerge w:val="restart"/>
            <w:shd w:val="clear" w:color="auto" w:fill="auto"/>
            <w:vAlign w:val="center"/>
          </w:tcPr>
          <w:p w:rsidR="0057447D" w:rsidRDefault="007A4AFA">
            <w:pPr>
              <w:widowControl/>
              <w:jc w:val="center"/>
              <w:rPr>
                <w:rFonts w:ascii="Times New Roman" w:eastAsia="仿宋_GB2312" w:hAnsi="Times New Roman" w:cs="Times New Roman"/>
                <w:b/>
                <w:kern w:val="0"/>
                <w:szCs w:val="21"/>
                <w:shd w:val="clear" w:color="auto" w:fill="FFFFFF" w:themeFill="background1"/>
              </w:rPr>
            </w:pPr>
            <w:r>
              <w:rPr>
                <w:rFonts w:ascii="Times New Roman" w:eastAsia="仿宋_GB2312" w:hAnsi="Times New Roman" w:cs="Times New Roman"/>
                <w:b/>
                <w:kern w:val="0"/>
                <w:szCs w:val="21"/>
                <w:shd w:val="clear" w:color="auto" w:fill="FFFFFF" w:themeFill="background1"/>
              </w:rPr>
              <w:t>基本支出</w:t>
            </w:r>
          </w:p>
        </w:tc>
        <w:tc>
          <w:tcPr>
            <w:tcW w:w="451" w:type="pct"/>
            <w:vMerge w:val="restart"/>
            <w:shd w:val="clear" w:color="auto" w:fill="auto"/>
            <w:vAlign w:val="center"/>
          </w:tcPr>
          <w:p w:rsidR="0057447D" w:rsidRDefault="007A4AFA">
            <w:pPr>
              <w:widowControl/>
              <w:jc w:val="center"/>
              <w:rPr>
                <w:rFonts w:ascii="Times New Roman" w:eastAsia="仿宋_GB2312" w:hAnsi="Times New Roman" w:cs="Times New Roman"/>
                <w:b/>
                <w:kern w:val="0"/>
                <w:szCs w:val="21"/>
                <w:shd w:val="clear" w:color="auto" w:fill="FFFFFF" w:themeFill="background1"/>
              </w:rPr>
            </w:pPr>
            <w:r>
              <w:rPr>
                <w:rFonts w:ascii="Times New Roman" w:eastAsia="仿宋_GB2312" w:hAnsi="Times New Roman" w:cs="Times New Roman"/>
                <w:b/>
                <w:kern w:val="0"/>
                <w:szCs w:val="21"/>
                <w:shd w:val="clear" w:color="auto" w:fill="FFFFFF" w:themeFill="background1"/>
              </w:rPr>
              <w:t>项目支出</w:t>
            </w:r>
          </w:p>
        </w:tc>
        <w:tc>
          <w:tcPr>
            <w:tcW w:w="720" w:type="pct"/>
            <w:vMerge/>
            <w:vAlign w:val="center"/>
          </w:tcPr>
          <w:p w:rsidR="0057447D" w:rsidRDefault="0057447D">
            <w:pPr>
              <w:widowControl/>
              <w:jc w:val="left"/>
              <w:rPr>
                <w:rFonts w:ascii="Times New Roman" w:eastAsia="仿宋_GB2312" w:hAnsi="Times New Roman" w:cs="Times New Roman"/>
                <w:b/>
                <w:kern w:val="0"/>
                <w:szCs w:val="21"/>
                <w:shd w:val="clear" w:color="auto" w:fill="FFFFFF" w:themeFill="background1"/>
              </w:rPr>
            </w:pPr>
          </w:p>
        </w:tc>
      </w:tr>
      <w:tr w:rsidR="0057447D">
        <w:trPr>
          <w:trHeight w:val="454"/>
          <w:jc w:val="center"/>
        </w:trPr>
        <w:tc>
          <w:tcPr>
            <w:tcW w:w="810"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1125"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720"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451"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272"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451"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451"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720"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r>
      <w:tr w:rsidR="0057447D">
        <w:trPr>
          <w:trHeight w:val="454"/>
          <w:jc w:val="center"/>
        </w:trPr>
        <w:tc>
          <w:tcPr>
            <w:tcW w:w="810"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1125"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720"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451"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272"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451"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451"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c>
          <w:tcPr>
            <w:tcW w:w="720" w:type="pct"/>
            <w:vMerge/>
            <w:vAlign w:val="center"/>
          </w:tcPr>
          <w:p w:rsidR="0057447D" w:rsidRDefault="0057447D">
            <w:pPr>
              <w:widowControl/>
              <w:jc w:val="left"/>
              <w:rPr>
                <w:rFonts w:ascii="Times New Roman" w:eastAsia="仿宋_GB2312" w:hAnsi="Times New Roman" w:cs="Times New Roman"/>
                <w:kern w:val="0"/>
                <w:szCs w:val="21"/>
                <w:shd w:val="clear" w:color="auto" w:fill="FFFFFF" w:themeFill="background1"/>
              </w:rPr>
            </w:pPr>
          </w:p>
        </w:tc>
      </w:tr>
      <w:tr w:rsidR="0057447D">
        <w:trPr>
          <w:trHeight w:val="454"/>
          <w:jc w:val="center"/>
        </w:trPr>
        <w:tc>
          <w:tcPr>
            <w:tcW w:w="1935" w:type="pct"/>
            <w:gridSpan w:val="2"/>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栏次</w:t>
            </w:r>
          </w:p>
        </w:tc>
        <w:tc>
          <w:tcPr>
            <w:tcW w:w="72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1</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2</w:t>
            </w:r>
          </w:p>
        </w:tc>
        <w:tc>
          <w:tcPr>
            <w:tcW w:w="272"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3</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4</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5</w:t>
            </w:r>
          </w:p>
        </w:tc>
        <w:tc>
          <w:tcPr>
            <w:tcW w:w="72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6</w:t>
            </w:r>
          </w:p>
        </w:tc>
      </w:tr>
      <w:tr w:rsidR="0057447D">
        <w:trPr>
          <w:trHeight w:val="454"/>
          <w:jc w:val="center"/>
        </w:trPr>
        <w:tc>
          <w:tcPr>
            <w:tcW w:w="1935" w:type="pct"/>
            <w:gridSpan w:val="2"/>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合计</w:t>
            </w:r>
          </w:p>
        </w:tc>
        <w:tc>
          <w:tcPr>
            <w:tcW w:w="72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272"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72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r>
      <w:tr w:rsidR="0057447D">
        <w:trPr>
          <w:trHeight w:val="454"/>
          <w:jc w:val="center"/>
        </w:trPr>
        <w:tc>
          <w:tcPr>
            <w:tcW w:w="810" w:type="pct"/>
            <w:shd w:val="clear" w:color="auto" w:fill="auto"/>
            <w:vAlign w:val="center"/>
          </w:tcPr>
          <w:p w:rsidR="0057447D" w:rsidRDefault="007A4AFA">
            <w:pPr>
              <w:rPr>
                <w:rFonts w:ascii="宋体" w:eastAsia="宋体" w:hAnsi="宋体" w:cs="Arial"/>
                <w:color w:val="000000"/>
                <w:sz w:val="22"/>
                <w:shd w:val="clear" w:color="auto" w:fill="FFFFFF" w:themeFill="background1"/>
              </w:rPr>
            </w:pPr>
            <w:r>
              <w:rPr>
                <w:rFonts w:cs="Arial" w:hint="eastAsia"/>
                <w:color w:val="000000"/>
                <w:sz w:val="22"/>
                <w:shd w:val="clear" w:color="auto" w:fill="FFFFFF" w:themeFill="background1"/>
              </w:rPr>
              <w:t>234</w:t>
            </w:r>
          </w:p>
        </w:tc>
        <w:tc>
          <w:tcPr>
            <w:tcW w:w="1125" w:type="pct"/>
            <w:shd w:val="clear" w:color="auto" w:fill="auto"/>
            <w:vAlign w:val="center"/>
          </w:tcPr>
          <w:p w:rsidR="0057447D" w:rsidRDefault="007A4AFA">
            <w:pPr>
              <w:rPr>
                <w:rFonts w:ascii="宋体" w:eastAsia="宋体" w:hAnsi="宋体" w:cs="Arial"/>
                <w:color w:val="000000"/>
                <w:sz w:val="22"/>
                <w:shd w:val="clear" w:color="auto" w:fill="FFFFFF" w:themeFill="background1"/>
              </w:rPr>
            </w:pPr>
            <w:r>
              <w:rPr>
                <w:rFonts w:cs="Arial" w:hint="eastAsia"/>
                <w:color w:val="000000"/>
                <w:sz w:val="22"/>
                <w:shd w:val="clear" w:color="auto" w:fill="FFFFFF" w:themeFill="background1"/>
              </w:rPr>
              <w:t>抗疫特别国债安排的支出</w:t>
            </w:r>
          </w:p>
        </w:tc>
        <w:tc>
          <w:tcPr>
            <w:tcW w:w="72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272"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72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r>
      <w:tr w:rsidR="0057447D">
        <w:trPr>
          <w:trHeight w:val="454"/>
          <w:jc w:val="center"/>
        </w:trPr>
        <w:tc>
          <w:tcPr>
            <w:tcW w:w="810" w:type="pct"/>
            <w:shd w:val="clear" w:color="auto" w:fill="auto"/>
            <w:vAlign w:val="center"/>
          </w:tcPr>
          <w:p w:rsidR="0057447D" w:rsidRDefault="007A4AFA">
            <w:pPr>
              <w:rPr>
                <w:rFonts w:ascii="宋体" w:eastAsia="宋体" w:hAnsi="宋体" w:cs="Arial"/>
                <w:color w:val="000000"/>
                <w:sz w:val="22"/>
                <w:shd w:val="clear" w:color="auto" w:fill="FFFFFF" w:themeFill="background1"/>
              </w:rPr>
            </w:pPr>
            <w:r>
              <w:rPr>
                <w:rFonts w:cs="Arial" w:hint="eastAsia"/>
                <w:color w:val="000000"/>
                <w:sz w:val="22"/>
                <w:shd w:val="clear" w:color="auto" w:fill="FFFFFF" w:themeFill="background1"/>
              </w:rPr>
              <w:t>23402</w:t>
            </w:r>
          </w:p>
        </w:tc>
        <w:tc>
          <w:tcPr>
            <w:tcW w:w="1125" w:type="pct"/>
            <w:shd w:val="clear" w:color="auto" w:fill="auto"/>
            <w:vAlign w:val="center"/>
          </w:tcPr>
          <w:p w:rsidR="0057447D" w:rsidRDefault="007A4AFA">
            <w:pPr>
              <w:rPr>
                <w:rFonts w:ascii="宋体" w:eastAsia="宋体" w:hAnsi="宋体" w:cs="Arial"/>
                <w:color w:val="000000"/>
                <w:sz w:val="22"/>
                <w:shd w:val="clear" w:color="auto" w:fill="FFFFFF" w:themeFill="background1"/>
              </w:rPr>
            </w:pPr>
            <w:r>
              <w:rPr>
                <w:rFonts w:cs="Arial" w:hint="eastAsia"/>
                <w:color w:val="000000"/>
                <w:sz w:val="22"/>
                <w:shd w:val="clear" w:color="auto" w:fill="FFFFFF" w:themeFill="background1"/>
              </w:rPr>
              <w:t>抗疫相关支出</w:t>
            </w:r>
          </w:p>
        </w:tc>
        <w:tc>
          <w:tcPr>
            <w:tcW w:w="72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272"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72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r>
      <w:tr w:rsidR="0057447D">
        <w:trPr>
          <w:trHeight w:val="454"/>
          <w:jc w:val="center"/>
        </w:trPr>
        <w:tc>
          <w:tcPr>
            <w:tcW w:w="810" w:type="pct"/>
            <w:shd w:val="clear" w:color="auto" w:fill="auto"/>
            <w:vAlign w:val="center"/>
          </w:tcPr>
          <w:p w:rsidR="0057447D" w:rsidRDefault="007A4AFA">
            <w:pPr>
              <w:rPr>
                <w:rFonts w:ascii="宋体" w:eastAsia="宋体" w:hAnsi="宋体" w:cs="Arial"/>
                <w:color w:val="000000"/>
                <w:sz w:val="22"/>
                <w:shd w:val="clear" w:color="auto" w:fill="FFFFFF" w:themeFill="background1"/>
              </w:rPr>
            </w:pPr>
            <w:r>
              <w:rPr>
                <w:rFonts w:cs="Arial" w:hint="eastAsia"/>
                <w:color w:val="000000"/>
                <w:sz w:val="22"/>
                <w:shd w:val="clear" w:color="auto" w:fill="FFFFFF" w:themeFill="background1"/>
              </w:rPr>
              <w:t>2340299</w:t>
            </w:r>
          </w:p>
        </w:tc>
        <w:tc>
          <w:tcPr>
            <w:tcW w:w="1125" w:type="pct"/>
            <w:shd w:val="clear" w:color="auto" w:fill="auto"/>
            <w:vAlign w:val="center"/>
          </w:tcPr>
          <w:p w:rsidR="0057447D" w:rsidRDefault="007A4AFA">
            <w:pPr>
              <w:rPr>
                <w:rFonts w:ascii="宋体" w:eastAsia="宋体" w:hAnsi="宋体" w:cs="Arial"/>
                <w:color w:val="000000"/>
                <w:sz w:val="22"/>
                <w:shd w:val="clear" w:color="auto" w:fill="FFFFFF" w:themeFill="background1"/>
              </w:rPr>
            </w:pPr>
            <w:r>
              <w:rPr>
                <w:rFonts w:cs="Arial" w:hint="eastAsia"/>
                <w:color w:val="000000"/>
                <w:sz w:val="22"/>
                <w:shd w:val="clear" w:color="auto" w:fill="FFFFFF" w:themeFill="background1"/>
              </w:rPr>
              <w:t>其他抗疫相关支出</w:t>
            </w:r>
          </w:p>
        </w:tc>
        <w:tc>
          <w:tcPr>
            <w:tcW w:w="72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272"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c>
          <w:tcPr>
            <w:tcW w:w="451"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10</w:t>
            </w:r>
          </w:p>
        </w:tc>
        <w:tc>
          <w:tcPr>
            <w:tcW w:w="72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hint="eastAsia"/>
                <w:kern w:val="0"/>
                <w:szCs w:val="21"/>
                <w:shd w:val="clear" w:color="auto" w:fill="FFFFFF" w:themeFill="background1"/>
              </w:rPr>
              <w:t>0</w:t>
            </w:r>
          </w:p>
        </w:tc>
      </w:tr>
      <w:tr w:rsidR="0057447D">
        <w:trPr>
          <w:trHeight w:val="454"/>
          <w:jc w:val="center"/>
        </w:trPr>
        <w:tc>
          <w:tcPr>
            <w:tcW w:w="81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1125"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720"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451"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272"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451"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451"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720"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r>
      <w:tr w:rsidR="0057447D">
        <w:trPr>
          <w:trHeight w:val="454"/>
          <w:jc w:val="center"/>
        </w:trPr>
        <w:tc>
          <w:tcPr>
            <w:tcW w:w="81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1125"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720"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451"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272"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451"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451"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720"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r>
      <w:tr w:rsidR="0057447D">
        <w:trPr>
          <w:trHeight w:val="454"/>
          <w:jc w:val="center"/>
        </w:trPr>
        <w:tc>
          <w:tcPr>
            <w:tcW w:w="810" w:type="pct"/>
            <w:shd w:val="clear" w:color="auto" w:fill="auto"/>
            <w:vAlign w:val="center"/>
          </w:tcPr>
          <w:p w:rsidR="0057447D" w:rsidRDefault="007A4AFA">
            <w:pPr>
              <w:widowControl/>
              <w:jc w:val="center"/>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1125"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720"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451"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272"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451"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451"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c>
          <w:tcPr>
            <w:tcW w:w="720" w:type="pct"/>
            <w:shd w:val="clear" w:color="auto" w:fill="auto"/>
            <w:vAlign w:val="center"/>
          </w:tcPr>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 xml:space="preserve">　</w:t>
            </w:r>
          </w:p>
        </w:tc>
      </w:tr>
    </w:tbl>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注：本表反映部门本年度政府性基金预算财政拨款收入、支出及结转和结余情况</w:t>
      </w:r>
    </w:p>
    <w:p w:rsidR="0057447D" w:rsidRDefault="007A4AFA">
      <w:pPr>
        <w:widowControl/>
        <w:jc w:val="left"/>
        <w:rPr>
          <w:rFonts w:ascii="Times New Roman" w:eastAsia="仿宋_GB2312" w:hAnsi="Times New Roman" w:cs="Times New Roman"/>
          <w:kern w:val="0"/>
          <w:szCs w:val="21"/>
          <w:shd w:val="clear" w:color="auto" w:fill="FFFFFF" w:themeFill="background1"/>
        </w:rPr>
      </w:pPr>
      <w:r>
        <w:rPr>
          <w:rFonts w:ascii="Times New Roman" w:eastAsia="仿宋_GB2312" w:hAnsi="Times New Roman" w:cs="Times New Roman"/>
          <w:kern w:val="0"/>
          <w:szCs w:val="21"/>
          <w:shd w:val="clear" w:color="auto" w:fill="FFFFFF" w:themeFill="background1"/>
        </w:rPr>
        <w:t>(</w:t>
      </w:r>
      <w:r>
        <w:rPr>
          <w:rFonts w:ascii="Times New Roman" w:eastAsia="仿宋_GB2312" w:hAnsi="Times New Roman" w:cs="Times New Roman"/>
          <w:kern w:val="0"/>
          <w:szCs w:val="21"/>
          <w:shd w:val="clear" w:color="auto" w:fill="FFFFFF" w:themeFill="background1"/>
        </w:rPr>
        <w:t>若本单位无政府性基金收支</w:t>
      </w:r>
      <w:r>
        <w:rPr>
          <w:rFonts w:ascii="Times New Roman" w:eastAsia="仿宋_GB2312" w:hAnsi="Times New Roman" w:cs="Times New Roman" w:hint="eastAsia"/>
          <w:kern w:val="0"/>
          <w:szCs w:val="21"/>
          <w:shd w:val="clear" w:color="auto" w:fill="FFFFFF" w:themeFill="background1"/>
        </w:rPr>
        <w:t>,</w:t>
      </w:r>
      <w:r>
        <w:rPr>
          <w:rFonts w:ascii="Times New Roman" w:eastAsia="仿宋_GB2312" w:hAnsi="Times New Roman" w:cs="Times New Roman" w:hint="eastAsia"/>
          <w:kern w:val="0"/>
          <w:szCs w:val="21"/>
          <w:shd w:val="clear" w:color="auto" w:fill="FFFFFF" w:themeFill="background1"/>
        </w:rPr>
        <w:t>请说明：</w:t>
      </w:r>
      <w:r>
        <w:rPr>
          <w:rFonts w:ascii="Times New Roman" w:eastAsia="仿宋_GB2312" w:hAnsi="Times New Roman" w:cs="Times New Roman" w:hint="eastAsia"/>
          <w:kern w:val="0"/>
          <w:szCs w:val="21"/>
          <w:shd w:val="clear" w:color="auto" w:fill="FFFFFF" w:themeFill="background1"/>
        </w:rPr>
        <w:t>XX</w:t>
      </w:r>
      <w:r>
        <w:rPr>
          <w:rFonts w:ascii="Times New Roman" w:eastAsia="仿宋_GB2312" w:hAnsi="Times New Roman" w:cs="Times New Roman" w:hint="eastAsia"/>
          <w:kern w:val="0"/>
          <w:szCs w:val="21"/>
          <w:shd w:val="clear" w:color="auto" w:fill="FFFFFF" w:themeFill="background1"/>
        </w:rPr>
        <w:t>单位没有政府性基金收入，也没有使用政府性基金安排的支出，故本表无数据</w:t>
      </w:r>
      <w:r>
        <w:rPr>
          <w:rFonts w:ascii="Times New Roman" w:eastAsia="仿宋_GB2312" w:hAnsi="Times New Roman" w:cs="Times New Roman"/>
          <w:kern w:val="0"/>
          <w:szCs w:val="21"/>
          <w:shd w:val="clear" w:color="auto" w:fill="FFFFFF" w:themeFill="background1"/>
        </w:rPr>
        <w:t>)</w:t>
      </w:r>
      <w:r>
        <w:rPr>
          <w:rFonts w:ascii="Times New Roman" w:eastAsia="仿宋_GB2312" w:hAnsi="Times New Roman" w:cs="Times New Roman"/>
          <w:kern w:val="0"/>
          <w:szCs w:val="21"/>
          <w:shd w:val="clear" w:color="auto" w:fill="FFFFFF" w:themeFill="background1"/>
        </w:rPr>
        <w:t>。</w:t>
      </w:r>
    </w:p>
    <w:p w:rsidR="0057447D" w:rsidRDefault="007A4AFA">
      <w:pPr>
        <w:widowControl/>
        <w:jc w:val="left"/>
        <w:rPr>
          <w:rFonts w:ascii="黑体" w:eastAsia="黑体" w:hAnsi="黑体"/>
          <w:szCs w:val="21"/>
          <w:shd w:val="clear" w:color="auto" w:fill="FFFFFF" w:themeFill="background1"/>
        </w:rPr>
      </w:pPr>
      <w:r>
        <w:rPr>
          <w:rFonts w:ascii="黑体" w:eastAsia="黑体" w:hAnsi="黑体"/>
          <w:szCs w:val="21"/>
          <w:shd w:val="clear" w:color="auto" w:fill="FFFFFF" w:themeFill="background1"/>
        </w:rPr>
        <w:br w:type="page"/>
      </w:r>
    </w:p>
    <w:tbl>
      <w:tblPr>
        <w:tblW w:w="14190" w:type="dxa"/>
        <w:tblInd w:w="93" w:type="dxa"/>
        <w:tblLook w:val="04A0"/>
      </w:tblPr>
      <w:tblGrid>
        <w:gridCol w:w="1060"/>
        <w:gridCol w:w="560"/>
        <w:gridCol w:w="1089"/>
        <w:gridCol w:w="2126"/>
        <w:gridCol w:w="1225"/>
        <w:gridCol w:w="1326"/>
        <w:gridCol w:w="1294"/>
        <w:gridCol w:w="1683"/>
        <w:gridCol w:w="3827"/>
      </w:tblGrid>
      <w:tr w:rsidR="0057447D">
        <w:trPr>
          <w:trHeight w:val="720"/>
        </w:trPr>
        <w:tc>
          <w:tcPr>
            <w:tcW w:w="14190" w:type="dxa"/>
            <w:gridSpan w:val="9"/>
            <w:tcBorders>
              <w:top w:val="nil"/>
              <w:left w:val="nil"/>
              <w:bottom w:val="nil"/>
              <w:right w:val="nil"/>
            </w:tcBorders>
            <w:shd w:val="clear" w:color="000000" w:fill="FFFFFF"/>
            <w:vAlign w:val="center"/>
          </w:tcPr>
          <w:p w:rsidR="0057447D" w:rsidRDefault="007A4AFA">
            <w:pPr>
              <w:widowControl/>
              <w:jc w:val="center"/>
              <w:rPr>
                <w:rFonts w:ascii="华文中宋" w:eastAsia="华文中宋" w:hAnsi="华文中宋" w:cs="宋体"/>
                <w:kern w:val="0"/>
                <w:sz w:val="32"/>
                <w:szCs w:val="32"/>
                <w:shd w:val="clear" w:color="auto" w:fill="FFFFFF" w:themeFill="background1"/>
              </w:rPr>
            </w:pPr>
            <w:r>
              <w:rPr>
                <w:rFonts w:ascii="华文中宋" w:eastAsia="华文中宋" w:hAnsi="华文中宋" w:cs="宋体" w:hint="eastAsia"/>
                <w:kern w:val="0"/>
                <w:sz w:val="32"/>
                <w:szCs w:val="32"/>
                <w:shd w:val="clear" w:color="auto" w:fill="FFFFFF" w:themeFill="background1"/>
              </w:rPr>
              <w:lastRenderedPageBreak/>
              <w:t>国有资本经营预算财政拨款支出决算表</w:t>
            </w:r>
          </w:p>
        </w:tc>
      </w:tr>
      <w:tr w:rsidR="0057447D">
        <w:trPr>
          <w:trHeight w:val="285"/>
        </w:trPr>
        <w:tc>
          <w:tcPr>
            <w:tcW w:w="1060" w:type="dxa"/>
            <w:tcBorders>
              <w:top w:val="nil"/>
              <w:left w:val="nil"/>
              <w:bottom w:val="nil"/>
              <w:right w:val="nil"/>
            </w:tcBorders>
            <w:shd w:val="clear" w:color="000000" w:fill="FFFFFF"/>
            <w:vAlign w:val="center"/>
          </w:tcPr>
          <w:p w:rsidR="0057447D" w:rsidRDefault="007A4AFA">
            <w:pPr>
              <w:widowControl/>
              <w:jc w:val="center"/>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560" w:type="dxa"/>
            <w:tcBorders>
              <w:top w:val="nil"/>
              <w:left w:val="nil"/>
              <w:bottom w:val="nil"/>
              <w:right w:val="nil"/>
            </w:tcBorders>
            <w:shd w:val="clear" w:color="000000" w:fill="FFFFFF"/>
            <w:vAlign w:val="center"/>
          </w:tcPr>
          <w:p w:rsidR="0057447D" w:rsidRDefault="007A4AFA">
            <w:pPr>
              <w:widowControl/>
              <w:jc w:val="center"/>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3215" w:type="dxa"/>
            <w:gridSpan w:val="2"/>
            <w:tcBorders>
              <w:top w:val="nil"/>
              <w:left w:val="nil"/>
              <w:bottom w:val="nil"/>
              <w:right w:val="nil"/>
            </w:tcBorders>
            <w:shd w:val="clear" w:color="000000" w:fill="FFFFFF"/>
            <w:vAlign w:val="center"/>
          </w:tcPr>
          <w:p w:rsidR="0057447D" w:rsidRDefault="007A4AFA">
            <w:pPr>
              <w:widowControl/>
              <w:jc w:val="center"/>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1225" w:type="dxa"/>
            <w:tcBorders>
              <w:top w:val="nil"/>
              <w:left w:val="nil"/>
              <w:bottom w:val="nil"/>
              <w:right w:val="nil"/>
            </w:tcBorders>
            <w:shd w:val="clear" w:color="000000" w:fill="FFFFFF"/>
            <w:vAlign w:val="center"/>
          </w:tcPr>
          <w:p w:rsidR="0057447D" w:rsidRDefault="007A4AFA">
            <w:pPr>
              <w:widowControl/>
              <w:jc w:val="left"/>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2620" w:type="dxa"/>
            <w:gridSpan w:val="2"/>
            <w:tcBorders>
              <w:top w:val="nil"/>
              <w:left w:val="nil"/>
              <w:bottom w:val="nil"/>
              <w:right w:val="nil"/>
            </w:tcBorders>
            <w:shd w:val="clear" w:color="000000" w:fill="FFFFFF"/>
            <w:vAlign w:val="center"/>
          </w:tcPr>
          <w:p w:rsidR="0057447D" w:rsidRDefault="007A4AFA">
            <w:pPr>
              <w:widowControl/>
              <w:jc w:val="left"/>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5510" w:type="dxa"/>
            <w:gridSpan w:val="2"/>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color w:val="000000"/>
                <w:kern w:val="0"/>
                <w:sz w:val="20"/>
                <w:szCs w:val="20"/>
                <w:shd w:val="clear" w:color="auto" w:fill="FFFFFF" w:themeFill="background1"/>
              </w:rPr>
            </w:pPr>
            <w:r>
              <w:rPr>
                <w:rFonts w:ascii="宋体" w:eastAsia="宋体" w:hAnsi="宋体" w:cs="宋体" w:hint="eastAsia"/>
                <w:color w:val="000000"/>
                <w:kern w:val="0"/>
                <w:sz w:val="20"/>
                <w:szCs w:val="20"/>
                <w:shd w:val="clear" w:color="auto" w:fill="FFFFFF" w:themeFill="background1"/>
              </w:rPr>
              <w:t>公开09表</w:t>
            </w:r>
          </w:p>
        </w:tc>
      </w:tr>
      <w:tr w:rsidR="0057447D">
        <w:trPr>
          <w:trHeight w:val="285"/>
        </w:trPr>
        <w:tc>
          <w:tcPr>
            <w:tcW w:w="1060" w:type="dxa"/>
            <w:tcBorders>
              <w:top w:val="nil"/>
              <w:left w:val="nil"/>
              <w:bottom w:val="nil"/>
              <w:right w:val="nil"/>
            </w:tcBorders>
            <w:shd w:val="clear" w:color="000000" w:fill="FFFFFF"/>
            <w:noWrap/>
            <w:vAlign w:val="center"/>
          </w:tcPr>
          <w:p w:rsidR="0057447D" w:rsidRDefault="007A4AFA">
            <w:pPr>
              <w:widowControl/>
              <w:jc w:val="left"/>
              <w:rPr>
                <w:rFonts w:ascii="宋体" w:eastAsia="宋体" w:hAnsi="宋体" w:cs="宋体"/>
                <w:color w:val="000000"/>
                <w:kern w:val="0"/>
                <w:sz w:val="20"/>
                <w:szCs w:val="20"/>
                <w:shd w:val="clear" w:color="auto" w:fill="FFFFFF" w:themeFill="background1"/>
              </w:rPr>
            </w:pPr>
            <w:r>
              <w:rPr>
                <w:rFonts w:ascii="宋体" w:eastAsia="宋体" w:hAnsi="宋体" w:cs="宋体" w:hint="eastAsia"/>
                <w:color w:val="000000"/>
                <w:kern w:val="0"/>
                <w:sz w:val="20"/>
                <w:szCs w:val="20"/>
                <w:shd w:val="clear" w:color="auto" w:fill="FFFFFF" w:themeFill="background1"/>
              </w:rPr>
              <w:t>部门：</w:t>
            </w:r>
          </w:p>
        </w:tc>
        <w:tc>
          <w:tcPr>
            <w:tcW w:w="560" w:type="dxa"/>
            <w:tcBorders>
              <w:top w:val="nil"/>
              <w:left w:val="nil"/>
              <w:bottom w:val="nil"/>
              <w:right w:val="nil"/>
            </w:tcBorders>
            <w:shd w:val="clear" w:color="000000" w:fill="FFFFFF"/>
            <w:vAlign w:val="center"/>
          </w:tcPr>
          <w:p w:rsidR="0057447D" w:rsidRDefault="007A4AFA">
            <w:pPr>
              <w:widowControl/>
              <w:jc w:val="center"/>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3215" w:type="dxa"/>
            <w:gridSpan w:val="2"/>
            <w:tcBorders>
              <w:top w:val="nil"/>
              <w:left w:val="nil"/>
              <w:bottom w:val="nil"/>
              <w:right w:val="nil"/>
            </w:tcBorders>
            <w:shd w:val="clear" w:color="000000" w:fill="FFFFFF"/>
            <w:vAlign w:val="center"/>
          </w:tcPr>
          <w:p w:rsidR="0057447D" w:rsidRDefault="007A4AFA">
            <w:pPr>
              <w:widowControl/>
              <w:jc w:val="center"/>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1225" w:type="dxa"/>
            <w:tcBorders>
              <w:top w:val="nil"/>
              <w:left w:val="nil"/>
              <w:bottom w:val="single" w:sz="8" w:space="0" w:color="auto"/>
              <w:right w:val="nil"/>
            </w:tcBorders>
            <w:shd w:val="clear" w:color="000000" w:fill="FFFFFF"/>
            <w:vAlign w:val="center"/>
          </w:tcPr>
          <w:p w:rsidR="0057447D" w:rsidRDefault="007A4AFA">
            <w:pPr>
              <w:widowControl/>
              <w:jc w:val="left"/>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2620" w:type="dxa"/>
            <w:gridSpan w:val="2"/>
            <w:tcBorders>
              <w:top w:val="nil"/>
              <w:left w:val="nil"/>
              <w:bottom w:val="single" w:sz="8" w:space="0" w:color="auto"/>
              <w:right w:val="nil"/>
            </w:tcBorders>
            <w:shd w:val="clear" w:color="000000" w:fill="FFFFFF"/>
            <w:vAlign w:val="center"/>
          </w:tcPr>
          <w:p w:rsidR="0057447D" w:rsidRDefault="007A4AFA">
            <w:pPr>
              <w:widowControl/>
              <w:jc w:val="left"/>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5510" w:type="dxa"/>
            <w:gridSpan w:val="2"/>
            <w:tcBorders>
              <w:top w:val="nil"/>
              <w:left w:val="nil"/>
              <w:bottom w:val="nil"/>
              <w:right w:val="nil"/>
            </w:tcBorders>
            <w:shd w:val="clear" w:color="000000" w:fill="FFFFFF"/>
            <w:noWrap/>
            <w:vAlign w:val="center"/>
          </w:tcPr>
          <w:p w:rsidR="0057447D" w:rsidRDefault="007A4AFA">
            <w:pPr>
              <w:widowControl/>
              <w:jc w:val="right"/>
              <w:rPr>
                <w:rFonts w:ascii="宋体" w:eastAsia="宋体" w:hAnsi="宋体" w:cs="宋体"/>
                <w:color w:val="000000"/>
                <w:kern w:val="0"/>
                <w:sz w:val="20"/>
                <w:szCs w:val="20"/>
                <w:shd w:val="clear" w:color="auto" w:fill="FFFFFF" w:themeFill="background1"/>
              </w:rPr>
            </w:pPr>
            <w:r>
              <w:rPr>
                <w:rFonts w:ascii="宋体" w:eastAsia="宋体" w:hAnsi="宋体" w:cs="宋体" w:hint="eastAsia"/>
                <w:color w:val="000000"/>
                <w:kern w:val="0"/>
                <w:sz w:val="20"/>
                <w:szCs w:val="20"/>
                <w:shd w:val="clear" w:color="auto" w:fill="FFFFFF" w:themeFill="background1"/>
              </w:rPr>
              <w:t>单位：万元</w:t>
            </w:r>
          </w:p>
        </w:tc>
      </w:tr>
      <w:tr w:rsidR="0057447D">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项目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本年支出</w:t>
            </w:r>
          </w:p>
        </w:tc>
      </w:tr>
      <w:tr w:rsidR="0057447D">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基本支出</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项目支出</w:t>
            </w:r>
          </w:p>
        </w:tc>
      </w:tr>
      <w:tr w:rsidR="0057447D">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57447D" w:rsidRDefault="0057447D">
            <w:pPr>
              <w:widowControl/>
              <w:jc w:val="left"/>
              <w:rPr>
                <w:rFonts w:ascii="宋体" w:eastAsia="宋体" w:hAnsi="宋体" w:cs="宋体"/>
                <w:kern w:val="0"/>
                <w:sz w:val="24"/>
                <w:szCs w:val="24"/>
                <w:shd w:val="clear" w:color="auto" w:fill="FFFFFF" w:themeFill="background1"/>
              </w:rPr>
            </w:pPr>
          </w:p>
        </w:tc>
        <w:tc>
          <w:tcPr>
            <w:tcW w:w="2126" w:type="dxa"/>
            <w:vMerge/>
            <w:tcBorders>
              <w:top w:val="nil"/>
              <w:left w:val="single" w:sz="4" w:space="0" w:color="auto"/>
              <w:bottom w:val="single" w:sz="4" w:space="0" w:color="auto"/>
              <w:right w:val="single" w:sz="4" w:space="0" w:color="auto"/>
            </w:tcBorders>
            <w:vAlign w:val="center"/>
          </w:tcPr>
          <w:p w:rsidR="0057447D" w:rsidRDefault="0057447D">
            <w:pPr>
              <w:widowControl/>
              <w:jc w:val="left"/>
              <w:rPr>
                <w:rFonts w:ascii="宋体" w:eastAsia="宋体" w:hAnsi="宋体" w:cs="宋体"/>
                <w:kern w:val="0"/>
                <w:sz w:val="24"/>
                <w:szCs w:val="24"/>
                <w:shd w:val="clear" w:color="auto" w:fill="FFFFFF" w:themeFill="background1"/>
              </w:rPr>
            </w:pPr>
          </w:p>
        </w:tc>
        <w:tc>
          <w:tcPr>
            <w:tcW w:w="2551" w:type="dxa"/>
            <w:gridSpan w:val="2"/>
            <w:vMerge/>
            <w:tcBorders>
              <w:top w:val="nil"/>
              <w:left w:val="single" w:sz="4" w:space="0" w:color="auto"/>
              <w:bottom w:val="single" w:sz="4" w:space="0" w:color="000000"/>
              <w:right w:val="single" w:sz="4" w:space="0" w:color="auto"/>
            </w:tcBorders>
            <w:vAlign w:val="center"/>
          </w:tcPr>
          <w:p w:rsidR="0057447D" w:rsidRDefault="0057447D">
            <w:pPr>
              <w:widowControl/>
              <w:jc w:val="left"/>
              <w:rPr>
                <w:rFonts w:ascii="宋体" w:eastAsia="宋体" w:hAnsi="宋体" w:cs="宋体"/>
                <w:kern w:val="0"/>
                <w:sz w:val="24"/>
                <w:szCs w:val="24"/>
                <w:shd w:val="clear" w:color="auto" w:fill="FFFFFF" w:themeFill="background1"/>
              </w:rPr>
            </w:pPr>
          </w:p>
        </w:tc>
        <w:tc>
          <w:tcPr>
            <w:tcW w:w="2977" w:type="dxa"/>
            <w:gridSpan w:val="2"/>
            <w:vMerge/>
            <w:tcBorders>
              <w:top w:val="nil"/>
              <w:left w:val="single" w:sz="4" w:space="0" w:color="auto"/>
              <w:bottom w:val="single" w:sz="4" w:space="0" w:color="000000"/>
              <w:right w:val="single" w:sz="4" w:space="0" w:color="auto"/>
            </w:tcBorders>
            <w:vAlign w:val="center"/>
          </w:tcPr>
          <w:p w:rsidR="0057447D" w:rsidRDefault="0057447D">
            <w:pPr>
              <w:widowControl/>
              <w:jc w:val="left"/>
              <w:rPr>
                <w:rFonts w:ascii="宋体" w:eastAsia="宋体" w:hAnsi="宋体" w:cs="宋体"/>
                <w:kern w:val="0"/>
                <w:sz w:val="24"/>
                <w:szCs w:val="24"/>
                <w:shd w:val="clear" w:color="auto" w:fill="FFFFFF" w:themeFill="background1"/>
              </w:rPr>
            </w:pPr>
          </w:p>
        </w:tc>
        <w:tc>
          <w:tcPr>
            <w:tcW w:w="3827" w:type="dxa"/>
            <w:vMerge/>
            <w:tcBorders>
              <w:top w:val="nil"/>
              <w:left w:val="single" w:sz="4" w:space="0" w:color="auto"/>
              <w:bottom w:val="single" w:sz="4" w:space="0" w:color="000000"/>
              <w:right w:val="single" w:sz="4" w:space="0" w:color="auto"/>
            </w:tcBorders>
            <w:vAlign w:val="center"/>
          </w:tcPr>
          <w:p w:rsidR="0057447D" w:rsidRDefault="0057447D">
            <w:pPr>
              <w:widowControl/>
              <w:jc w:val="left"/>
              <w:rPr>
                <w:rFonts w:ascii="宋体" w:eastAsia="宋体" w:hAnsi="宋体" w:cs="宋体"/>
                <w:kern w:val="0"/>
                <w:sz w:val="24"/>
                <w:szCs w:val="24"/>
                <w:shd w:val="clear" w:color="auto" w:fill="FFFFFF" w:themeFill="background1"/>
              </w:rPr>
            </w:pPr>
          </w:p>
        </w:tc>
      </w:tr>
      <w:tr w:rsidR="0057447D">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57447D" w:rsidRDefault="0057447D">
            <w:pPr>
              <w:widowControl/>
              <w:jc w:val="left"/>
              <w:rPr>
                <w:rFonts w:ascii="宋体" w:eastAsia="宋体" w:hAnsi="宋体" w:cs="宋体"/>
                <w:kern w:val="0"/>
                <w:sz w:val="24"/>
                <w:szCs w:val="24"/>
                <w:shd w:val="clear" w:color="auto" w:fill="FFFFFF" w:themeFill="background1"/>
              </w:rPr>
            </w:pPr>
          </w:p>
        </w:tc>
        <w:tc>
          <w:tcPr>
            <w:tcW w:w="2126" w:type="dxa"/>
            <w:vMerge/>
            <w:tcBorders>
              <w:top w:val="nil"/>
              <w:left w:val="single" w:sz="4" w:space="0" w:color="auto"/>
              <w:bottom w:val="single" w:sz="4" w:space="0" w:color="auto"/>
              <w:right w:val="single" w:sz="4" w:space="0" w:color="auto"/>
            </w:tcBorders>
            <w:vAlign w:val="center"/>
          </w:tcPr>
          <w:p w:rsidR="0057447D" w:rsidRDefault="0057447D">
            <w:pPr>
              <w:widowControl/>
              <w:jc w:val="left"/>
              <w:rPr>
                <w:rFonts w:ascii="宋体" w:eastAsia="宋体" w:hAnsi="宋体" w:cs="宋体"/>
                <w:kern w:val="0"/>
                <w:sz w:val="24"/>
                <w:szCs w:val="24"/>
                <w:shd w:val="clear" w:color="auto" w:fill="FFFFFF" w:themeFill="background1"/>
              </w:rPr>
            </w:pPr>
          </w:p>
        </w:tc>
        <w:tc>
          <w:tcPr>
            <w:tcW w:w="2551" w:type="dxa"/>
            <w:gridSpan w:val="2"/>
            <w:vMerge/>
            <w:tcBorders>
              <w:top w:val="nil"/>
              <w:left w:val="single" w:sz="4" w:space="0" w:color="auto"/>
              <w:bottom w:val="single" w:sz="4" w:space="0" w:color="000000"/>
              <w:right w:val="single" w:sz="4" w:space="0" w:color="auto"/>
            </w:tcBorders>
            <w:vAlign w:val="center"/>
          </w:tcPr>
          <w:p w:rsidR="0057447D" w:rsidRDefault="0057447D">
            <w:pPr>
              <w:widowControl/>
              <w:jc w:val="left"/>
              <w:rPr>
                <w:rFonts w:ascii="宋体" w:eastAsia="宋体" w:hAnsi="宋体" w:cs="宋体"/>
                <w:kern w:val="0"/>
                <w:sz w:val="24"/>
                <w:szCs w:val="24"/>
                <w:shd w:val="clear" w:color="auto" w:fill="FFFFFF" w:themeFill="background1"/>
              </w:rPr>
            </w:pPr>
          </w:p>
        </w:tc>
        <w:tc>
          <w:tcPr>
            <w:tcW w:w="2977" w:type="dxa"/>
            <w:gridSpan w:val="2"/>
            <w:vMerge/>
            <w:tcBorders>
              <w:top w:val="nil"/>
              <w:left w:val="single" w:sz="4" w:space="0" w:color="auto"/>
              <w:bottom w:val="single" w:sz="4" w:space="0" w:color="000000"/>
              <w:right w:val="single" w:sz="4" w:space="0" w:color="auto"/>
            </w:tcBorders>
            <w:vAlign w:val="center"/>
          </w:tcPr>
          <w:p w:rsidR="0057447D" w:rsidRDefault="0057447D">
            <w:pPr>
              <w:widowControl/>
              <w:jc w:val="left"/>
              <w:rPr>
                <w:rFonts w:ascii="宋体" w:eastAsia="宋体" w:hAnsi="宋体" w:cs="宋体"/>
                <w:kern w:val="0"/>
                <w:sz w:val="24"/>
                <w:szCs w:val="24"/>
                <w:shd w:val="clear" w:color="auto" w:fill="FFFFFF" w:themeFill="background1"/>
              </w:rPr>
            </w:pPr>
          </w:p>
        </w:tc>
        <w:tc>
          <w:tcPr>
            <w:tcW w:w="3827" w:type="dxa"/>
            <w:vMerge/>
            <w:tcBorders>
              <w:top w:val="nil"/>
              <w:left w:val="single" w:sz="4" w:space="0" w:color="auto"/>
              <w:bottom w:val="single" w:sz="4" w:space="0" w:color="000000"/>
              <w:right w:val="single" w:sz="4" w:space="0" w:color="auto"/>
            </w:tcBorders>
            <w:vAlign w:val="center"/>
          </w:tcPr>
          <w:p w:rsidR="0057447D" w:rsidRDefault="0057447D">
            <w:pPr>
              <w:widowControl/>
              <w:jc w:val="left"/>
              <w:rPr>
                <w:rFonts w:ascii="宋体" w:eastAsia="宋体" w:hAnsi="宋体" w:cs="宋体"/>
                <w:kern w:val="0"/>
                <w:sz w:val="24"/>
                <w:szCs w:val="24"/>
                <w:shd w:val="clear" w:color="auto" w:fill="FFFFFF" w:themeFill="background1"/>
              </w:rPr>
            </w:pPr>
          </w:p>
        </w:tc>
      </w:tr>
      <w:tr w:rsidR="0057447D">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栏次</w:t>
            </w:r>
          </w:p>
        </w:tc>
        <w:tc>
          <w:tcPr>
            <w:tcW w:w="2551"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1</w:t>
            </w:r>
          </w:p>
        </w:tc>
        <w:tc>
          <w:tcPr>
            <w:tcW w:w="2977"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2</w:t>
            </w:r>
          </w:p>
        </w:tc>
        <w:tc>
          <w:tcPr>
            <w:tcW w:w="3827"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3</w:t>
            </w:r>
          </w:p>
        </w:tc>
      </w:tr>
      <w:tr w:rsidR="0057447D">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合计</w:t>
            </w:r>
          </w:p>
        </w:tc>
        <w:tc>
          <w:tcPr>
            <w:tcW w:w="2551"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827" w:type="dxa"/>
            <w:tcBorders>
              <w:top w:val="nil"/>
              <w:left w:val="nil"/>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r>
      <w:tr w:rsidR="0057447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827" w:type="dxa"/>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r>
      <w:tr w:rsidR="0057447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827" w:type="dxa"/>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r>
      <w:tr w:rsidR="0057447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0"/>
                <w:szCs w:val="20"/>
                <w:shd w:val="clear" w:color="auto" w:fill="FFFFFF" w:themeFill="background1"/>
              </w:rPr>
            </w:pPr>
            <w:r>
              <w:rPr>
                <w:rFonts w:ascii="宋体" w:eastAsia="宋体" w:hAnsi="宋体" w:cs="宋体" w:hint="eastAsia"/>
                <w:kern w:val="0"/>
                <w:sz w:val="20"/>
                <w:szCs w:val="20"/>
                <w:shd w:val="clear" w:color="auto" w:fill="FFFFFF" w:themeFill="background1"/>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827" w:type="dxa"/>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r>
      <w:tr w:rsidR="0057447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827" w:type="dxa"/>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r>
      <w:tr w:rsidR="0057447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827" w:type="dxa"/>
            <w:tcBorders>
              <w:top w:val="nil"/>
              <w:left w:val="nil"/>
              <w:bottom w:val="single" w:sz="4"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r>
      <w:tr w:rsidR="0057447D">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57447D" w:rsidRDefault="007A4AFA">
            <w:pPr>
              <w:widowControl/>
              <w:jc w:val="center"/>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215" w:type="dxa"/>
            <w:gridSpan w:val="2"/>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551" w:type="dxa"/>
            <w:gridSpan w:val="2"/>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2977" w:type="dxa"/>
            <w:gridSpan w:val="2"/>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c>
          <w:tcPr>
            <w:tcW w:w="3827" w:type="dxa"/>
            <w:tcBorders>
              <w:top w:val="nil"/>
              <w:left w:val="nil"/>
              <w:bottom w:val="single" w:sz="8" w:space="0" w:color="auto"/>
              <w:right w:val="single" w:sz="4" w:space="0" w:color="auto"/>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p>
        </w:tc>
      </w:tr>
      <w:tr w:rsidR="0057447D">
        <w:trPr>
          <w:trHeight w:val="720"/>
        </w:trPr>
        <w:tc>
          <w:tcPr>
            <w:tcW w:w="14190" w:type="dxa"/>
            <w:gridSpan w:val="9"/>
            <w:tcBorders>
              <w:top w:val="single" w:sz="8" w:space="0" w:color="auto"/>
              <w:left w:val="nil"/>
              <w:bottom w:val="nil"/>
              <w:right w:val="nil"/>
            </w:tcBorders>
            <w:shd w:val="clear" w:color="auto" w:fill="auto"/>
            <w:vAlign w:val="center"/>
          </w:tcPr>
          <w:p w:rsidR="0057447D" w:rsidRDefault="007A4AFA">
            <w:pPr>
              <w:widowControl/>
              <w:jc w:val="left"/>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注：本表反映部门本年度国有资本经营预算财政拨款支出情况。湘西州医疗保障局本年度国有资本经营预算财政拨款支出，故本表无数据</w:t>
            </w:r>
          </w:p>
        </w:tc>
      </w:tr>
    </w:tbl>
    <w:p w:rsidR="0057447D" w:rsidRDefault="0057447D">
      <w:pPr>
        <w:pStyle w:val="Default"/>
        <w:rPr>
          <w:sz w:val="72"/>
          <w:szCs w:val="72"/>
          <w:shd w:val="clear" w:color="auto" w:fill="FFFFFF" w:themeFill="background1"/>
        </w:rPr>
        <w:sectPr w:rsidR="0057447D">
          <w:pgSz w:w="16838" w:h="11906" w:orient="landscape"/>
          <w:pgMar w:top="720" w:right="720" w:bottom="720" w:left="720" w:header="851" w:footer="992" w:gutter="0"/>
          <w:cols w:space="425"/>
          <w:docGrid w:type="lines" w:linePitch="312"/>
        </w:sectPr>
      </w:pPr>
    </w:p>
    <w:p w:rsidR="0057447D" w:rsidRDefault="0057447D">
      <w:pPr>
        <w:pStyle w:val="Default"/>
        <w:rPr>
          <w:sz w:val="72"/>
          <w:szCs w:val="72"/>
          <w:shd w:val="clear" w:color="auto" w:fill="FFFFFF" w:themeFill="background1"/>
        </w:rPr>
      </w:pPr>
    </w:p>
    <w:p w:rsidR="0057447D" w:rsidRDefault="0057447D">
      <w:pPr>
        <w:pStyle w:val="Default"/>
        <w:rPr>
          <w:sz w:val="72"/>
          <w:szCs w:val="72"/>
          <w:shd w:val="clear" w:color="auto" w:fill="FFFFFF" w:themeFill="background1"/>
        </w:rPr>
      </w:pPr>
    </w:p>
    <w:p w:rsidR="0057447D" w:rsidRDefault="0057447D">
      <w:pPr>
        <w:pStyle w:val="Default"/>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7A4AFA">
      <w:pPr>
        <w:pStyle w:val="Default"/>
        <w:jc w:val="center"/>
        <w:rPr>
          <w:sz w:val="72"/>
          <w:szCs w:val="72"/>
          <w:shd w:val="clear" w:color="auto" w:fill="FFFFFF" w:themeFill="background1"/>
        </w:rPr>
      </w:pPr>
      <w:r>
        <w:rPr>
          <w:rFonts w:hint="eastAsia"/>
          <w:sz w:val="72"/>
          <w:szCs w:val="72"/>
          <w:shd w:val="clear" w:color="auto" w:fill="FFFFFF" w:themeFill="background1"/>
        </w:rPr>
        <w:t>第三部分</w:t>
      </w:r>
    </w:p>
    <w:p w:rsidR="0057447D" w:rsidRDefault="0057447D">
      <w:pPr>
        <w:pStyle w:val="Default"/>
        <w:jc w:val="center"/>
        <w:rPr>
          <w:sz w:val="70"/>
          <w:szCs w:val="70"/>
          <w:shd w:val="clear" w:color="auto" w:fill="FFFFFF" w:themeFill="background1"/>
        </w:rPr>
      </w:pPr>
    </w:p>
    <w:p w:rsidR="0057447D" w:rsidRDefault="007A4AFA">
      <w:pPr>
        <w:pStyle w:val="Default"/>
        <w:jc w:val="center"/>
        <w:rPr>
          <w:sz w:val="70"/>
          <w:szCs w:val="70"/>
          <w:shd w:val="clear" w:color="auto" w:fill="FFFFFF" w:themeFill="background1"/>
        </w:rPr>
      </w:pPr>
      <w:r>
        <w:rPr>
          <w:sz w:val="70"/>
          <w:szCs w:val="70"/>
          <w:shd w:val="clear" w:color="auto" w:fill="FFFFFF" w:themeFill="background1"/>
        </w:rPr>
        <w:t>20</w:t>
      </w:r>
      <w:r>
        <w:rPr>
          <w:rFonts w:hint="eastAsia"/>
          <w:sz w:val="70"/>
          <w:szCs w:val="70"/>
          <w:shd w:val="clear" w:color="auto" w:fill="FFFFFF" w:themeFill="background1"/>
        </w:rPr>
        <w:t>20年度部门决算情况说明</w:t>
      </w:r>
    </w:p>
    <w:p w:rsidR="0057447D" w:rsidRDefault="007A4AFA">
      <w:pPr>
        <w:widowControl/>
        <w:jc w:val="left"/>
        <w:rPr>
          <w:rFonts w:ascii="黑体" w:eastAsia="黑体" w:cs="黑体"/>
          <w:color w:val="000000"/>
          <w:kern w:val="0"/>
          <w:sz w:val="70"/>
          <w:szCs w:val="70"/>
          <w:shd w:val="clear" w:color="auto" w:fill="FFFFFF" w:themeFill="background1"/>
        </w:rPr>
      </w:pPr>
      <w:r>
        <w:rPr>
          <w:sz w:val="70"/>
          <w:szCs w:val="70"/>
          <w:shd w:val="clear" w:color="auto" w:fill="FFFFFF" w:themeFill="background1"/>
        </w:rPr>
        <w:br w:type="page"/>
      </w:r>
    </w:p>
    <w:p w:rsidR="0057447D" w:rsidRDefault="0057447D">
      <w:pPr>
        <w:pStyle w:val="Default"/>
        <w:rPr>
          <w:rFonts w:asciiTheme="minorEastAsia" w:eastAsiaTheme="minorEastAsia" w:hAnsiTheme="minorEastAsia"/>
          <w:sz w:val="32"/>
          <w:szCs w:val="32"/>
          <w:shd w:val="clear" w:color="auto" w:fill="FFFFFF" w:themeFill="background1"/>
        </w:rPr>
      </w:pPr>
    </w:p>
    <w:p w:rsidR="0057447D" w:rsidRDefault="007A4AFA">
      <w:pPr>
        <w:pStyle w:val="Default"/>
        <w:rPr>
          <w:rFonts w:hAnsi="黑体"/>
          <w:b/>
          <w:sz w:val="32"/>
          <w:szCs w:val="32"/>
          <w:shd w:val="clear" w:color="auto" w:fill="FFFFFF" w:themeFill="background1"/>
        </w:rPr>
      </w:pPr>
      <w:r>
        <w:rPr>
          <w:rFonts w:hAnsi="黑体" w:hint="eastAsia"/>
          <w:b/>
          <w:sz w:val="32"/>
          <w:szCs w:val="32"/>
          <w:shd w:val="clear" w:color="auto" w:fill="FFFFFF" w:themeFill="background1"/>
        </w:rPr>
        <w:t>一、收入支出决算总体情况说明</w:t>
      </w:r>
    </w:p>
    <w:p w:rsidR="0057447D" w:rsidRDefault="007A4AFA" w:rsidP="00D80294">
      <w:pPr>
        <w:pStyle w:val="Default"/>
        <w:ind w:firstLineChars="200" w:firstLine="640"/>
        <w:rPr>
          <w:rFonts w:asciiTheme="minorEastAsia" w:eastAsiaTheme="minorEastAsia" w:hAnsiTheme="minorEastAsia"/>
          <w:color w:val="FF0000"/>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2020年度收、支总计1813.16万</w:t>
      </w:r>
      <w:r>
        <w:rPr>
          <w:rFonts w:asciiTheme="minorEastAsia" w:eastAsiaTheme="minorEastAsia" w:hAnsiTheme="minorEastAsia" w:hint="eastAsia"/>
          <w:color w:val="auto"/>
          <w:sz w:val="32"/>
          <w:szCs w:val="32"/>
          <w:shd w:val="clear" w:color="auto" w:fill="FFFFFF" w:themeFill="background1"/>
        </w:rPr>
        <w:t>元。与2019年1653.5万元相比，增加159.66万元，增加9.66%，主要是因为机构改革,本年度单位人员增加导致收支增加。</w:t>
      </w:r>
    </w:p>
    <w:p w:rsidR="0057447D" w:rsidRDefault="007A4AFA">
      <w:pPr>
        <w:pStyle w:val="Default"/>
        <w:rPr>
          <w:rFonts w:hAnsi="黑体"/>
          <w:b/>
          <w:sz w:val="32"/>
          <w:szCs w:val="32"/>
          <w:shd w:val="clear" w:color="auto" w:fill="FFFFFF" w:themeFill="background1"/>
        </w:rPr>
      </w:pPr>
      <w:r>
        <w:rPr>
          <w:rFonts w:hAnsi="黑体" w:hint="eastAsia"/>
          <w:b/>
          <w:sz w:val="32"/>
          <w:szCs w:val="32"/>
          <w:shd w:val="clear" w:color="auto" w:fill="FFFFFF" w:themeFill="background1"/>
        </w:rPr>
        <w:t>二、收入决算情况说明</w:t>
      </w:r>
    </w:p>
    <w:p w:rsidR="0057447D" w:rsidRDefault="007A4AFA" w:rsidP="00D80294">
      <w:pPr>
        <w:pStyle w:val="Default"/>
        <w:ind w:firstLineChars="200" w:firstLine="64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本年收入合计918.48万元，其中：财政拨款收入902.19万元，占98.24%；政府性基金预算财政拨款收入10万元，占1.08%；其他收入6.29万元，占0.68%。</w:t>
      </w:r>
    </w:p>
    <w:p w:rsidR="0057447D" w:rsidRDefault="007A4AFA">
      <w:pPr>
        <w:pStyle w:val="Default"/>
        <w:rPr>
          <w:rFonts w:hAnsi="黑体"/>
          <w:b/>
          <w:sz w:val="32"/>
          <w:szCs w:val="32"/>
          <w:shd w:val="clear" w:color="auto" w:fill="FFFFFF" w:themeFill="background1"/>
        </w:rPr>
      </w:pPr>
      <w:r>
        <w:rPr>
          <w:rFonts w:hAnsi="黑体" w:hint="eastAsia"/>
          <w:b/>
          <w:sz w:val="32"/>
          <w:szCs w:val="32"/>
          <w:shd w:val="clear" w:color="auto" w:fill="FFFFFF" w:themeFill="background1"/>
        </w:rPr>
        <w:t>三、支出决算情况说明</w:t>
      </w:r>
    </w:p>
    <w:p w:rsidR="0057447D" w:rsidRDefault="007A4AFA" w:rsidP="00D80294">
      <w:pPr>
        <w:pStyle w:val="Default"/>
        <w:ind w:firstLineChars="200" w:firstLine="64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本年支出合计894.68万元，其中：基本支出</w:t>
      </w:r>
      <w:r>
        <w:rPr>
          <w:rFonts w:asciiTheme="minorEastAsia" w:eastAsiaTheme="minorEastAsia" w:hAnsiTheme="minorEastAsia" w:hint="eastAsia"/>
          <w:color w:val="auto"/>
          <w:sz w:val="32"/>
          <w:szCs w:val="32"/>
          <w:shd w:val="clear" w:color="auto" w:fill="FFFFFF" w:themeFill="background1"/>
        </w:rPr>
        <w:t>743.9</w:t>
      </w:r>
      <w:r>
        <w:rPr>
          <w:rFonts w:asciiTheme="minorEastAsia" w:eastAsiaTheme="minorEastAsia" w:hAnsiTheme="minorEastAsia" w:hint="eastAsia"/>
          <w:sz w:val="32"/>
          <w:szCs w:val="32"/>
          <w:shd w:val="clear" w:color="auto" w:fill="FFFFFF" w:themeFill="background1"/>
        </w:rPr>
        <w:t>万元，占83.15%；项目支出150.78万元，占16.85%。</w:t>
      </w:r>
    </w:p>
    <w:p w:rsidR="0057447D" w:rsidRDefault="007A4AFA">
      <w:pPr>
        <w:pStyle w:val="Default"/>
        <w:rPr>
          <w:rFonts w:hAnsi="黑体"/>
          <w:b/>
          <w:sz w:val="32"/>
          <w:szCs w:val="32"/>
          <w:shd w:val="clear" w:color="auto" w:fill="FFFFFF" w:themeFill="background1"/>
        </w:rPr>
      </w:pPr>
      <w:r>
        <w:rPr>
          <w:rFonts w:hAnsi="黑体" w:hint="eastAsia"/>
          <w:b/>
          <w:sz w:val="32"/>
          <w:szCs w:val="32"/>
          <w:shd w:val="clear" w:color="auto" w:fill="FFFFFF" w:themeFill="background1"/>
        </w:rPr>
        <w:t>四、财政拨款收入支出决算总体情况说明</w:t>
      </w:r>
    </w:p>
    <w:p w:rsidR="0057447D" w:rsidRDefault="007A4AFA">
      <w:pPr>
        <w:pStyle w:val="Default"/>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 xml:space="preserve">    2020年度财政拨款收、支总计1805.5万元，</w:t>
      </w:r>
      <w:r>
        <w:rPr>
          <w:rFonts w:asciiTheme="minorEastAsia" w:eastAsiaTheme="minorEastAsia" w:hAnsiTheme="minorEastAsia" w:hint="eastAsia"/>
          <w:color w:val="auto"/>
          <w:sz w:val="32"/>
          <w:szCs w:val="32"/>
          <w:shd w:val="clear" w:color="auto" w:fill="FFFFFF" w:themeFill="background1"/>
        </w:rPr>
        <w:t>与2019年1646.83万元相比，增加158.67万元,增长9.63%，主要是因为机构改革,本年度单位人员增加导致收支增加。</w:t>
      </w:r>
    </w:p>
    <w:p w:rsidR="0057447D" w:rsidRDefault="007A4AFA">
      <w:pPr>
        <w:pStyle w:val="Default"/>
        <w:rPr>
          <w:rFonts w:hAnsi="黑体"/>
          <w:b/>
          <w:sz w:val="32"/>
          <w:szCs w:val="32"/>
          <w:shd w:val="clear" w:color="auto" w:fill="FFFFFF" w:themeFill="background1"/>
        </w:rPr>
      </w:pPr>
      <w:r>
        <w:rPr>
          <w:rFonts w:hAnsi="黑体" w:hint="eastAsia"/>
          <w:b/>
          <w:sz w:val="32"/>
          <w:szCs w:val="32"/>
          <w:shd w:val="clear" w:color="auto" w:fill="FFFFFF" w:themeFill="background1"/>
        </w:rPr>
        <w:t>五、一般公共预算财政拨款支出决算情况说明</w:t>
      </w:r>
    </w:p>
    <w:p w:rsidR="0057447D" w:rsidRDefault="007A4AFA" w:rsidP="00D80294">
      <w:pPr>
        <w:pStyle w:val="Default"/>
        <w:ind w:firstLineChars="200" w:firstLine="643"/>
        <w:rPr>
          <w:rFonts w:asciiTheme="minorEastAsia" w:eastAsiaTheme="minorEastAsia" w:hAnsiTheme="minorEastAsia"/>
          <w:b/>
          <w:sz w:val="32"/>
          <w:szCs w:val="32"/>
          <w:shd w:val="clear" w:color="auto" w:fill="FFFFFF" w:themeFill="background1"/>
        </w:rPr>
      </w:pPr>
      <w:r>
        <w:rPr>
          <w:rFonts w:asciiTheme="minorEastAsia" w:eastAsiaTheme="minorEastAsia" w:hAnsiTheme="minorEastAsia" w:hint="eastAsia"/>
          <w:b/>
          <w:sz w:val="32"/>
          <w:szCs w:val="32"/>
          <w:shd w:val="clear" w:color="auto" w:fill="FFFFFF" w:themeFill="background1"/>
        </w:rPr>
        <w:t>（一）财政拨款支出决算总体情况</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2020年度财政拨款支出</w:t>
      </w:r>
      <w:r>
        <w:rPr>
          <w:rFonts w:ascii="楷体_GB2312" w:eastAsia="楷体_GB2312" w:hAnsi="楷体_GB2312" w:cs="楷体_GB2312" w:hint="eastAsia"/>
          <w:color w:val="333333"/>
          <w:sz w:val="28"/>
          <w:szCs w:val="28"/>
          <w:shd w:val="clear" w:color="auto" w:fill="FFFFFF" w:themeFill="background1"/>
        </w:rPr>
        <w:t>893.31</w:t>
      </w:r>
      <w:r>
        <w:rPr>
          <w:rFonts w:asciiTheme="minorEastAsia" w:eastAsiaTheme="minorEastAsia" w:hAnsiTheme="minorEastAsia" w:hint="eastAsia"/>
          <w:sz w:val="32"/>
          <w:szCs w:val="32"/>
          <w:shd w:val="clear" w:color="auto" w:fill="FFFFFF" w:themeFill="background1"/>
        </w:rPr>
        <w:t>万元，占本年支出合计的99.85%，</w:t>
      </w:r>
      <w:r>
        <w:rPr>
          <w:rFonts w:asciiTheme="minorEastAsia" w:eastAsiaTheme="minorEastAsia" w:hAnsiTheme="minorEastAsia" w:hint="eastAsia"/>
          <w:color w:val="auto"/>
          <w:sz w:val="32"/>
          <w:szCs w:val="32"/>
          <w:shd w:val="clear" w:color="auto" w:fill="FFFFFF" w:themeFill="background1"/>
        </w:rPr>
        <w:t>与2019年856.78万元相比，财政拨款支出增加36.53万元，增长4.26%，主要是本年年度预算收入增加，故导致</w:t>
      </w:r>
      <w:r>
        <w:rPr>
          <w:rFonts w:asciiTheme="minorEastAsia" w:eastAsiaTheme="minorEastAsia" w:hAnsiTheme="minorEastAsia" w:hint="eastAsia"/>
          <w:color w:val="auto"/>
          <w:sz w:val="32"/>
          <w:szCs w:val="32"/>
          <w:shd w:val="clear" w:color="auto" w:fill="FFFFFF" w:themeFill="background1"/>
        </w:rPr>
        <w:lastRenderedPageBreak/>
        <w:t>预算内支出增加。</w:t>
      </w:r>
    </w:p>
    <w:p w:rsidR="0057447D" w:rsidRDefault="007A4AFA" w:rsidP="00D80294">
      <w:pPr>
        <w:pStyle w:val="Default"/>
        <w:ind w:firstLineChars="150" w:firstLine="482"/>
        <w:rPr>
          <w:rFonts w:asciiTheme="minorEastAsia" w:eastAsiaTheme="minorEastAsia" w:hAnsiTheme="minorEastAsia"/>
          <w:b/>
          <w:sz w:val="32"/>
          <w:szCs w:val="32"/>
          <w:shd w:val="clear" w:color="auto" w:fill="FFFFFF" w:themeFill="background1"/>
        </w:rPr>
      </w:pPr>
      <w:r>
        <w:rPr>
          <w:rFonts w:asciiTheme="minorEastAsia" w:eastAsiaTheme="minorEastAsia" w:hAnsiTheme="minorEastAsia" w:hint="eastAsia"/>
          <w:b/>
          <w:sz w:val="32"/>
          <w:szCs w:val="32"/>
          <w:shd w:val="clear" w:color="auto" w:fill="FFFFFF" w:themeFill="background1"/>
        </w:rPr>
        <w:t>（二）财政拨款支出决算结构情况</w:t>
      </w:r>
    </w:p>
    <w:p w:rsidR="0057447D" w:rsidRDefault="007A4AFA" w:rsidP="00D80294">
      <w:pPr>
        <w:pStyle w:val="Default"/>
        <w:ind w:firstLineChars="200" w:firstLine="64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2020年度财政拨款支出893.31万元，主要用于以下方面：一般公共服务（类）支出17.11万元，占1.92%；社会保障和就业支出63.89万元，占7.15%;卫生健康支出767.48万元，占85.91%；住房保障支出34.83万元，占3.9%。抗疫特别国债安排支出10万，占1.12%。</w:t>
      </w:r>
    </w:p>
    <w:p w:rsidR="0057447D" w:rsidRDefault="007A4AFA" w:rsidP="00D80294">
      <w:pPr>
        <w:pStyle w:val="Default"/>
        <w:ind w:firstLineChars="250" w:firstLine="803"/>
        <w:rPr>
          <w:rFonts w:asciiTheme="minorEastAsia" w:eastAsiaTheme="minorEastAsia" w:hAnsiTheme="minorEastAsia"/>
          <w:b/>
          <w:sz w:val="32"/>
          <w:szCs w:val="32"/>
          <w:shd w:val="clear" w:color="auto" w:fill="FFFFFF" w:themeFill="background1"/>
        </w:rPr>
      </w:pPr>
      <w:r>
        <w:rPr>
          <w:rFonts w:asciiTheme="minorEastAsia" w:eastAsiaTheme="minorEastAsia" w:hAnsiTheme="minorEastAsia" w:hint="eastAsia"/>
          <w:b/>
          <w:sz w:val="32"/>
          <w:szCs w:val="32"/>
          <w:shd w:val="clear" w:color="auto" w:fill="FFFFFF" w:themeFill="background1"/>
        </w:rPr>
        <w:t>（三）财政拨款支出决算具体情况</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2020年度财政拨款支出年初预算数为642.18万元，支出决算数为893.31万元，其中：</w:t>
      </w:r>
    </w:p>
    <w:p w:rsidR="0057447D" w:rsidRDefault="007A4AFA">
      <w:pPr>
        <w:pStyle w:val="Default"/>
        <w:ind w:left="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1.一般公共服务。</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其他政府办公厅（室）及相关机构事务支出</w:t>
      </w:r>
      <w:r>
        <w:rPr>
          <w:rFonts w:asciiTheme="minorEastAsia" w:eastAsiaTheme="minorEastAsia" w:hAnsiTheme="minorEastAsia"/>
          <w:sz w:val="32"/>
          <w:szCs w:val="32"/>
          <w:shd w:val="clear" w:color="auto" w:fill="FFFFFF" w:themeFill="background1"/>
        </w:rPr>
        <w:t>201</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03</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99</w:t>
      </w:r>
      <w:r>
        <w:rPr>
          <w:rFonts w:asciiTheme="minorEastAsia" w:eastAsiaTheme="minorEastAsia" w:hAnsiTheme="minorEastAsia" w:hint="eastAsia"/>
          <w:sz w:val="32"/>
          <w:szCs w:val="32"/>
          <w:shd w:val="clear" w:color="auto" w:fill="FFFFFF" w:themeFill="background1"/>
        </w:rPr>
        <w:t>（项）, 年初预算为0万元，支出决算为10万元，决算数大于年初预算数的主要原因是：综合目标管理经追加拨款。</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其他发展与改革事务支出</w:t>
      </w:r>
      <w:r>
        <w:rPr>
          <w:rFonts w:asciiTheme="minorEastAsia" w:eastAsiaTheme="minorEastAsia" w:hAnsiTheme="minorEastAsia"/>
          <w:sz w:val="32"/>
          <w:szCs w:val="32"/>
          <w:shd w:val="clear" w:color="auto" w:fill="FFFFFF" w:themeFill="background1"/>
        </w:rPr>
        <w:t>201</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04</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99</w:t>
      </w:r>
      <w:r>
        <w:rPr>
          <w:rFonts w:asciiTheme="minorEastAsia" w:eastAsiaTheme="minorEastAsia" w:hAnsiTheme="minorEastAsia" w:hint="eastAsia"/>
          <w:sz w:val="32"/>
          <w:szCs w:val="32"/>
          <w:shd w:val="clear" w:color="auto" w:fill="FFFFFF" w:themeFill="background1"/>
        </w:rPr>
        <w:t>（项），年初预算为0万元，支出决算为7.11万元，决算数大于年初预算数的主要原因是：“十四五”发展与改革规划追加拨款。</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2.社会保障和就业支出。</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社会保险经办机构</w:t>
      </w:r>
      <w:r>
        <w:rPr>
          <w:rFonts w:asciiTheme="minorEastAsia" w:eastAsiaTheme="minorEastAsia" w:hAnsiTheme="minorEastAsia"/>
          <w:sz w:val="32"/>
          <w:szCs w:val="32"/>
          <w:shd w:val="clear" w:color="auto" w:fill="FFFFFF" w:themeFill="background1"/>
        </w:rPr>
        <w:t>208</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01</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09</w:t>
      </w:r>
      <w:r>
        <w:rPr>
          <w:rFonts w:asciiTheme="minorEastAsia" w:eastAsiaTheme="minorEastAsia" w:hAnsiTheme="minorEastAsia" w:hint="eastAsia"/>
          <w:sz w:val="32"/>
          <w:szCs w:val="32"/>
          <w:shd w:val="clear" w:color="auto" w:fill="FFFFFF" w:themeFill="background1"/>
        </w:rPr>
        <w:t>（项），年初预算为0万元，支出决算为</w:t>
      </w:r>
      <w:r>
        <w:rPr>
          <w:rFonts w:asciiTheme="minorEastAsia" w:eastAsiaTheme="minorEastAsia" w:hAnsiTheme="minorEastAsia"/>
          <w:sz w:val="32"/>
          <w:szCs w:val="32"/>
          <w:shd w:val="clear" w:color="auto" w:fill="FFFFFF" w:themeFill="background1"/>
        </w:rPr>
        <w:t>8.38</w:t>
      </w:r>
      <w:r>
        <w:rPr>
          <w:rFonts w:asciiTheme="minorEastAsia" w:eastAsiaTheme="minorEastAsia" w:hAnsiTheme="minorEastAsia" w:hint="eastAsia"/>
          <w:sz w:val="32"/>
          <w:szCs w:val="32"/>
          <w:shd w:val="clear" w:color="auto" w:fill="FFFFFF" w:themeFill="background1"/>
        </w:rPr>
        <w:t>万元，决算数大于年初预算</w:t>
      </w:r>
      <w:r>
        <w:rPr>
          <w:rFonts w:asciiTheme="minorEastAsia" w:eastAsiaTheme="minorEastAsia" w:hAnsiTheme="minorEastAsia" w:hint="eastAsia"/>
          <w:sz w:val="32"/>
          <w:szCs w:val="32"/>
          <w:shd w:val="clear" w:color="auto" w:fill="FFFFFF" w:themeFill="background1"/>
        </w:rPr>
        <w:lastRenderedPageBreak/>
        <w:t>数的主要原因是：基本支出追加拨款。</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其他人力资源和社会保障管理事务支出</w:t>
      </w:r>
      <w:r>
        <w:rPr>
          <w:rFonts w:asciiTheme="minorEastAsia" w:eastAsiaTheme="minorEastAsia" w:hAnsiTheme="minorEastAsia"/>
          <w:sz w:val="32"/>
          <w:szCs w:val="32"/>
          <w:shd w:val="clear" w:color="auto" w:fill="FFFFFF" w:themeFill="background1"/>
        </w:rPr>
        <w:t>208</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01</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99</w:t>
      </w:r>
      <w:r>
        <w:rPr>
          <w:rFonts w:asciiTheme="minorEastAsia" w:eastAsiaTheme="minorEastAsia" w:hAnsiTheme="minorEastAsia" w:hint="eastAsia"/>
          <w:sz w:val="32"/>
          <w:szCs w:val="32"/>
          <w:shd w:val="clear" w:color="auto" w:fill="FFFFFF" w:themeFill="background1"/>
        </w:rPr>
        <w:t>（项），年初预算为0万元，支出决算为</w:t>
      </w:r>
      <w:r>
        <w:rPr>
          <w:rFonts w:asciiTheme="minorEastAsia" w:eastAsiaTheme="minorEastAsia" w:hAnsiTheme="minorEastAsia"/>
          <w:sz w:val="32"/>
          <w:szCs w:val="32"/>
          <w:shd w:val="clear" w:color="auto" w:fill="FFFFFF" w:themeFill="background1"/>
        </w:rPr>
        <w:t>1.92</w:t>
      </w:r>
      <w:r>
        <w:rPr>
          <w:rFonts w:asciiTheme="minorEastAsia" w:eastAsiaTheme="minorEastAsia" w:hAnsiTheme="minorEastAsia" w:hint="eastAsia"/>
          <w:sz w:val="32"/>
          <w:szCs w:val="32"/>
          <w:shd w:val="clear" w:color="auto" w:fill="FFFFFF" w:themeFill="background1"/>
        </w:rPr>
        <w:t>万元，决算数大于年初预算数的主要原因是：基本支出预算追加。</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行政单位离退休</w:t>
      </w:r>
      <w:r>
        <w:rPr>
          <w:rFonts w:asciiTheme="minorEastAsia" w:eastAsiaTheme="minorEastAsia" w:hAnsiTheme="minorEastAsia"/>
          <w:sz w:val="32"/>
          <w:szCs w:val="32"/>
          <w:shd w:val="clear" w:color="auto" w:fill="FFFFFF" w:themeFill="background1"/>
        </w:rPr>
        <w:t>208</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05</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01</w:t>
      </w:r>
      <w:r>
        <w:rPr>
          <w:rFonts w:asciiTheme="minorEastAsia" w:eastAsiaTheme="minorEastAsia" w:hAnsiTheme="minorEastAsia" w:hint="eastAsia"/>
          <w:sz w:val="32"/>
          <w:szCs w:val="32"/>
          <w:shd w:val="clear" w:color="auto" w:fill="FFFFFF" w:themeFill="background1"/>
        </w:rPr>
        <w:t>（项），年初预算为0万元，支出决算为</w:t>
      </w:r>
      <w:r>
        <w:rPr>
          <w:rFonts w:asciiTheme="minorEastAsia" w:eastAsiaTheme="minorEastAsia" w:hAnsiTheme="minorEastAsia"/>
          <w:sz w:val="32"/>
          <w:szCs w:val="32"/>
          <w:shd w:val="clear" w:color="auto" w:fill="FFFFFF" w:themeFill="background1"/>
        </w:rPr>
        <w:t>4.65</w:t>
      </w:r>
      <w:r>
        <w:rPr>
          <w:rFonts w:asciiTheme="minorEastAsia" w:eastAsiaTheme="minorEastAsia" w:hAnsiTheme="minorEastAsia" w:hint="eastAsia"/>
          <w:sz w:val="32"/>
          <w:szCs w:val="32"/>
          <w:shd w:val="clear" w:color="auto" w:fill="FFFFFF" w:themeFill="background1"/>
        </w:rPr>
        <w:t>万元，决算数大于年初预算数的主要原因是：本科目预算由社保科统一编制。</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事业单位离退休</w:t>
      </w:r>
      <w:r>
        <w:rPr>
          <w:rFonts w:asciiTheme="minorEastAsia" w:eastAsiaTheme="minorEastAsia" w:hAnsiTheme="minorEastAsia"/>
          <w:sz w:val="32"/>
          <w:szCs w:val="32"/>
          <w:shd w:val="clear" w:color="auto" w:fill="FFFFFF" w:themeFill="background1"/>
        </w:rPr>
        <w:t>208</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05</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02</w:t>
      </w:r>
      <w:r>
        <w:rPr>
          <w:rFonts w:asciiTheme="minorEastAsia" w:eastAsiaTheme="minorEastAsia" w:hAnsiTheme="minorEastAsia" w:hint="eastAsia"/>
          <w:sz w:val="32"/>
          <w:szCs w:val="32"/>
          <w:shd w:val="clear" w:color="auto" w:fill="FFFFFF" w:themeFill="background1"/>
        </w:rPr>
        <w:t>（项），年初预算为1.6万元，支出决算为2.5万元，决算数大于年初预算数的主要原因是：本科目预算由社保科统一编制。</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机关事业单位基本养老保险缴费支出</w:t>
      </w:r>
      <w:r>
        <w:rPr>
          <w:rFonts w:asciiTheme="minorEastAsia" w:eastAsiaTheme="minorEastAsia" w:hAnsiTheme="minorEastAsia"/>
          <w:sz w:val="32"/>
          <w:szCs w:val="32"/>
          <w:shd w:val="clear" w:color="auto" w:fill="FFFFFF" w:themeFill="background1"/>
        </w:rPr>
        <w:t>208</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05</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05</w:t>
      </w:r>
      <w:r>
        <w:rPr>
          <w:rFonts w:asciiTheme="minorEastAsia" w:eastAsiaTheme="minorEastAsia" w:hAnsiTheme="minorEastAsia" w:hint="eastAsia"/>
          <w:sz w:val="32"/>
          <w:szCs w:val="32"/>
          <w:shd w:val="clear" w:color="auto" w:fill="FFFFFF" w:themeFill="background1"/>
        </w:rPr>
        <w:t>（项），年初预算为46.44万元，支出决算为</w:t>
      </w:r>
      <w:r>
        <w:rPr>
          <w:rFonts w:asciiTheme="minorEastAsia" w:eastAsiaTheme="minorEastAsia" w:hAnsiTheme="minorEastAsia"/>
          <w:sz w:val="32"/>
          <w:szCs w:val="32"/>
          <w:shd w:val="clear" w:color="auto" w:fill="FFFFFF" w:themeFill="background1"/>
        </w:rPr>
        <w:t>46.44</w:t>
      </w:r>
      <w:r>
        <w:rPr>
          <w:rFonts w:asciiTheme="minorEastAsia" w:eastAsiaTheme="minorEastAsia" w:hAnsiTheme="minorEastAsia" w:hint="eastAsia"/>
          <w:sz w:val="32"/>
          <w:szCs w:val="32"/>
          <w:shd w:val="clear" w:color="auto" w:fill="FFFFFF" w:themeFill="background1"/>
        </w:rPr>
        <w:t>万元.</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3.卫生健康支出。</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行政单位医疗</w:t>
      </w:r>
      <w:r>
        <w:rPr>
          <w:rFonts w:asciiTheme="minorEastAsia" w:eastAsiaTheme="minorEastAsia" w:hAnsiTheme="minorEastAsia"/>
          <w:sz w:val="32"/>
          <w:szCs w:val="32"/>
          <w:shd w:val="clear" w:color="auto" w:fill="FFFFFF" w:themeFill="background1"/>
        </w:rPr>
        <w:t>210</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11</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01</w:t>
      </w:r>
      <w:r>
        <w:rPr>
          <w:rFonts w:asciiTheme="minorEastAsia" w:eastAsiaTheme="minorEastAsia" w:hAnsiTheme="minorEastAsia" w:hint="eastAsia"/>
          <w:sz w:val="32"/>
          <w:szCs w:val="32"/>
          <w:shd w:val="clear" w:color="auto" w:fill="FFFFFF" w:themeFill="background1"/>
        </w:rPr>
        <w:t>（项），年初预算为4.55万元，支出决算为</w:t>
      </w:r>
      <w:r>
        <w:rPr>
          <w:rFonts w:asciiTheme="minorEastAsia" w:eastAsiaTheme="minorEastAsia" w:hAnsiTheme="minorEastAsia"/>
          <w:sz w:val="32"/>
          <w:szCs w:val="32"/>
          <w:shd w:val="clear" w:color="auto" w:fill="FFFFFF" w:themeFill="background1"/>
        </w:rPr>
        <w:t>4.55</w:t>
      </w:r>
      <w:r>
        <w:rPr>
          <w:rFonts w:asciiTheme="minorEastAsia" w:eastAsiaTheme="minorEastAsia" w:hAnsiTheme="minorEastAsia" w:hint="eastAsia"/>
          <w:sz w:val="32"/>
          <w:szCs w:val="32"/>
          <w:shd w:val="clear" w:color="auto" w:fill="FFFFFF" w:themeFill="background1"/>
        </w:rPr>
        <w:t>万元。</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事业单位医疗</w:t>
      </w:r>
      <w:r>
        <w:rPr>
          <w:rFonts w:asciiTheme="minorEastAsia" w:eastAsiaTheme="minorEastAsia" w:hAnsiTheme="minorEastAsia"/>
          <w:sz w:val="32"/>
          <w:szCs w:val="32"/>
          <w:shd w:val="clear" w:color="auto" w:fill="FFFFFF" w:themeFill="background1"/>
        </w:rPr>
        <w:t>210</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11</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02</w:t>
      </w:r>
      <w:r>
        <w:rPr>
          <w:rFonts w:asciiTheme="minorEastAsia" w:eastAsiaTheme="minorEastAsia" w:hAnsiTheme="minorEastAsia" w:hint="eastAsia"/>
          <w:sz w:val="32"/>
          <w:szCs w:val="32"/>
          <w:shd w:val="clear" w:color="auto" w:fill="FFFFFF" w:themeFill="background1"/>
        </w:rPr>
        <w:t>（项），年初预算为15.77万元，支出决算为15.77万元。</w:t>
      </w:r>
    </w:p>
    <w:p w:rsidR="0057447D" w:rsidRDefault="007A4AFA" w:rsidP="00D80294">
      <w:pPr>
        <w:pStyle w:val="Default"/>
        <w:ind w:firstLineChars="250" w:firstLine="800"/>
        <w:rPr>
          <w:color w:val="333333"/>
          <w:shd w:val="clear" w:color="auto" w:fill="FFFFFF" w:themeFill="background1"/>
        </w:rPr>
      </w:pPr>
      <w:r>
        <w:rPr>
          <w:rFonts w:asciiTheme="minorEastAsia" w:eastAsiaTheme="minorEastAsia" w:hAnsiTheme="minorEastAsia" w:hint="eastAsia"/>
          <w:sz w:val="32"/>
          <w:szCs w:val="32"/>
          <w:shd w:val="clear" w:color="auto" w:fill="FFFFFF" w:themeFill="background1"/>
        </w:rPr>
        <w:t>行政运行</w:t>
      </w:r>
      <w:r>
        <w:rPr>
          <w:rFonts w:asciiTheme="minorEastAsia" w:eastAsiaTheme="minorEastAsia" w:hAnsiTheme="minorEastAsia"/>
          <w:sz w:val="32"/>
          <w:szCs w:val="32"/>
          <w:shd w:val="clear" w:color="auto" w:fill="FFFFFF" w:themeFill="background1"/>
        </w:rPr>
        <w:t>210</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15</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01</w:t>
      </w:r>
      <w:r>
        <w:rPr>
          <w:rFonts w:asciiTheme="minorEastAsia" w:eastAsiaTheme="minorEastAsia" w:hAnsiTheme="minorEastAsia" w:hint="eastAsia"/>
          <w:sz w:val="32"/>
          <w:szCs w:val="32"/>
          <w:shd w:val="clear" w:color="auto" w:fill="FFFFFF" w:themeFill="background1"/>
        </w:rPr>
        <w:t>（项），年初预算为</w:t>
      </w:r>
      <w:r>
        <w:rPr>
          <w:rFonts w:asciiTheme="minorEastAsia" w:eastAsiaTheme="minorEastAsia" w:hAnsiTheme="minorEastAsia"/>
          <w:sz w:val="32"/>
          <w:szCs w:val="32"/>
          <w:shd w:val="clear" w:color="auto" w:fill="FFFFFF" w:themeFill="background1"/>
        </w:rPr>
        <w:t>159.23</w:t>
      </w:r>
      <w:r>
        <w:rPr>
          <w:rFonts w:asciiTheme="minorEastAsia" w:eastAsiaTheme="minorEastAsia" w:hAnsiTheme="minorEastAsia" w:hint="eastAsia"/>
          <w:sz w:val="32"/>
          <w:szCs w:val="32"/>
          <w:shd w:val="clear" w:color="auto" w:fill="FFFFFF" w:themeFill="background1"/>
        </w:rPr>
        <w:t>万元，支出决算为</w:t>
      </w:r>
      <w:r>
        <w:rPr>
          <w:rFonts w:asciiTheme="minorEastAsia" w:eastAsiaTheme="minorEastAsia" w:hAnsiTheme="minorEastAsia"/>
          <w:sz w:val="32"/>
          <w:szCs w:val="32"/>
          <w:shd w:val="clear" w:color="auto" w:fill="FFFFFF" w:themeFill="background1"/>
        </w:rPr>
        <w:t>247.14</w:t>
      </w:r>
      <w:r>
        <w:rPr>
          <w:rFonts w:asciiTheme="minorEastAsia" w:eastAsiaTheme="minorEastAsia" w:hAnsiTheme="minorEastAsia" w:hint="eastAsia"/>
          <w:sz w:val="32"/>
          <w:szCs w:val="32"/>
          <w:shd w:val="clear" w:color="auto" w:fill="FFFFFF" w:themeFill="background1"/>
        </w:rPr>
        <w:t>万元，决算数大于年初预算数的主要原因是：按规定使用了以前年度的资金、追加各项年度考核奖励及年中相应调剂安排财政拨款预算。</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lastRenderedPageBreak/>
        <w:t>一般行政管理事务</w:t>
      </w:r>
      <w:r>
        <w:rPr>
          <w:rFonts w:asciiTheme="minorEastAsia" w:eastAsiaTheme="minorEastAsia" w:hAnsiTheme="minorEastAsia"/>
          <w:sz w:val="32"/>
          <w:szCs w:val="32"/>
          <w:shd w:val="clear" w:color="auto" w:fill="FFFFFF" w:themeFill="background1"/>
        </w:rPr>
        <w:t>210</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15</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02</w:t>
      </w:r>
      <w:r>
        <w:rPr>
          <w:rFonts w:asciiTheme="minorEastAsia" w:eastAsiaTheme="minorEastAsia" w:hAnsiTheme="minorEastAsia" w:hint="eastAsia"/>
          <w:sz w:val="32"/>
          <w:szCs w:val="32"/>
          <w:shd w:val="clear" w:color="auto" w:fill="FFFFFF" w:themeFill="background1"/>
        </w:rPr>
        <w:t>（项），年初预算为60万元，支出决算为</w:t>
      </w:r>
      <w:r>
        <w:rPr>
          <w:rFonts w:asciiTheme="minorEastAsia" w:eastAsiaTheme="minorEastAsia" w:hAnsiTheme="minorEastAsia"/>
          <w:sz w:val="32"/>
          <w:szCs w:val="32"/>
          <w:shd w:val="clear" w:color="auto" w:fill="FFFFFF" w:themeFill="background1"/>
        </w:rPr>
        <w:t>71.7</w:t>
      </w:r>
      <w:r>
        <w:rPr>
          <w:rFonts w:asciiTheme="minorEastAsia" w:eastAsiaTheme="minorEastAsia" w:hAnsiTheme="minorEastAsia" w:hint="eastAsia"/>
          <w:sz w:val="32"/>
          <w:szCs w:val="32"/>
          <w:shd w:val="clear" w:color="auto" w:fill="FFFFFF" w:themeFill="background1"/>
        </w:rPr>
        <w:t>万元，决算数大于年初预算数的主要原因是：医保待遇发放运转经费追加拨款。</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医疗保障政策管理</w:t>
      </w:r>
      <w:r>
        <w:rPr>
          <w:rFonts w:asciiTheme="minorEastAsia" w:eastAsiaTheme="minorEastAsia" w:hAnsiTheme="minorEastAsia"/>
          <w:sz w:val="32"/>
          <w:szCs w:val="32"/>
          <w:shd w:val="clear" w:color="auto" w:fill="FFFFFF" w:themeFill="background1"/>
        </w:rPr>
        <w:t>210</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15</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05</w:t>
      </w:r>
      <w:r>
        <w:rPr>
          <w:rFonts w:asciiTheme="minorEastAsia" w:eastAsiaTheme="minorEastAsia" w:hAnsiTheme="minorEastAsia" w:hint="eastAsia"/>
          <w:sz w:val="32"/>
          <w:szCs w:val="32"/>
          <w:shd w:val="clear" w:color="auto" w:fill="FFFFFF" w:themeFill="background1"/>
        </w:rPr>
        <w:t>（项），年初预算为0万元，支出决算为</w:t>
      </w:r>
      <w:r>
        <w:rPr>
          <w:rFonts w:asciiTheme="minorEastAsia" w:eastAsiaTheme="minorEastAsia" w:hAnsiTheme="minorEastAsia"/>
          <w:sz w:val="32"/>
          <w:szCs w:val="32"/>
          <w:shd w:val="clear" w:color="auto" w:fill="FFFFFF" w:themeFill="background1"/>
        </w:rPr>
        <w:t>29.66</w:t>
      </w:r>
      <w:r>
        <w:rPr>
          <w:rFonts w:asciiTheme="minorEastAsia" w:eastAsiaTheme="minorEastAsia" w:hAnsiTheme="minorEastAsia" w:hint="eastAsia"/>
          <w:sz w:val="32"/>
          <w:szCs w:val="32"/>
          <w:shd w:val="clear" w:color="auto" w:fill="FFFFFF" w:themeFill="background1"/>
        </w:rPr>
        <w:t>万元，决算数大于年初预算数的主要原因是：能力提升经费追加拨款。</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事业运行</w:t>
      </w:r>
      <w:r>
        <w:rPr>
          <w:rFonts w:asciiTheme="minorEastAsia" w:eastAsiaTheme="minorEastAsia" w:hAnsiTheme="minorEastAsia"/>
          <w:sz w:val="32"/>
          <w:szCs w:val="32"/>
          <w:shd w:val="clear" w:color="auto" w:fill="FFFFFF" w:themeFill="background1"/>
        </w:rPr>
        <w:t>210</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15</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50</w:t>
      </w:r>
      <w:r>
        <w:rPr>
          <w:rFonts w:asciiTheme="minorEastAsia" w:eastAsiaTheme="minorEastAsia" w:hAnsiTheme="minorEastAsia" w:hint="eastAsia"/>
          <w:sz w:val="32"/>
          <w:szCs w:val="32"/>
          <w:shd w:val="clear" w:color="auto" w:fill="FFFFFF" w:themeFill="background1"/>
        </w:rPr>
        <w:t>（项），年初预算为</w:t>
      </w:r>
      <w:r>
        <w:rPr>
          <w:rFonts w:asciiTheme="minorEastAsia" w:eastAsiaTheme="minorEastAsia" w:hAnsiTheme="minorEastAsia"/>
          <w:sz w:val="32"/>
          <w:szCs w:val="32"/>
          <w:shd w:val="clear" w:color="auto" w:fill="FFFFFF" w:themeFill="background1"/>
        </w:rPr>
        <w:t>319.76</w:t>
      </w:r>
      <w:r>
        <w:rPr>
          <w:rFonts w:asciiTheme="minorEastAsia" w:eastAsiaTheme="minorEastAsia" w:hAnsiTheme="minorEastAsia" w:hint="eastAsia"/>
          <w:sz w:val="32"/>
          <w:szCs w:val="32"/>
          <w:shd w:val="clear" w:color="auto" w:fill="FFFFFF" w:themeFill="background1"/>
        </w:rPr>
        <w:t>万元，支出决算为</w:t>
      </w:r>
      <w:r>
        <w:rPr>
          <w:rFonts w:asciiTheme="minorEastAsia" w:eastAsiaTheme="minorEastAsia" w:hAnsiTheme="minorEastAsia"/>
          <w:sz w:val="32"/>
          <w:szCs w:val="32"/>
          <w:shd w:val="clear" w:color="auto" w:fill="FFFFFF" w:themeFill="background1"/>
        </w:rPr>
        <w:t>335.06</w:t>
      </w:r>
      <w:r>
        <w:rPr>
          <w:rFonts w:asciiTheme="minorEastAsia" w:eastAsiaTheme="minorEastAsia" w:hAnsiTheme="minorEastAsia" w:hint="eastAsia"/>
          <w:sz w:val="32"/>
          <w:szCs w:val="32"/>
          <w:shd w:val="clear" w:color="auto" w:fill="FFFFFF" w:themeFill="background1"/>
        </w:rPr>
        <w:t>万元，决算数大于年初预算数的主要原因是：业务量大，年中财政追加工作经费。</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其他医疗保障管理事务支出</w:t>
      </w:r>
      <w:r>
        <w:rPr>
          <w:rFonts w:asciiTheme="minorEastAsia" w:eastAsiaTheme="minorEastAsia" w:hAnsiTheme="minorEastAsia"/>
          <w:sz w:val="32"/>
          <w:szCs w:val="32"/>
          <w:shd w:val="clear" w:color="auto" w:fill="FFFFFF" w:themeFill="background1"/>
        </w:rPr>
        <w:t>210</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15</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99</w:t>
      </w:r>
      <w:r>
        <w:rPr>
          <w:rFonts w:asciiTheme="minorEastAsia" w:eastAsiaTheme="minorEastAsia" w:hAnsiTheme="minorEastAsia" w:hint="eastAsia"/>
          <w:sz w:val="32"/>
          <w:szCs w:val="32"/>
          <w:shd w:val="clear" w:color="auto" w:fill="FFFFFF" w:themeFill="background1"/>
        </w:rPr>
        <w:t>（项），年初无预算，支出决算为</w:t>
      </w:r>
      <w:r>
        <w:rPr>
          <w:rFonts w:asciiTheme="minorEastAsia" w:eastAsiaTheme="minorEastAsia" w:hAnsiTheme="minorEastAsia"/>
          <w:sz w:val="32"/>
          <w:szCs w:val="32"/>
          <w:shd w:val="clear" w:color="auto" w:fill="FFFFFF" w:themeFill="background1"/>
        </w:rPr>
        <w:t>33.03</w:t>
      </w:r>
      <w:r>
        <w:rPr>
          <w:rFonts w:asciiTheme="minorEastAsia" w:eastAsiaTheme="minorEastAsia" w:hAnsiTheme="minorEastAsia" w:hint="eastAsia"/>
          <w:sz w:val="32"/>
          <w:szCs w:val="32"/>
          <w:shd w:val="clear" w:color="auto" w:fill="FFFFFF" w:themeFill="background1"/>
        </w:rPr>
        <w:t>万元，决算数大于年初预算数的主要原因是：年初结转和结余</w:t>
      </w:r>
      <w:r>
        <w:rPr>
          <w:rFonts w:asciiTheme="minorEastAsia" w:eastAsiaTheme="minorEastAsia" w:hAnsiTheme="minorEastAsia"/>
          <w:sz w:val="32"/>
          <w:szCs w:val="32"/>
          <w:shd w:val="clear" w:color="auto" w:fill="FFFFFF" w:themeFill="background1"/>
        </w:rPr>
        <w:t>2.32</w:t>
      </w:r>
      <w:r>
        <w:rPr>
          <w:rFonts w:asciiTheme="minorEastAsia" w:eastAsiaTheme="minorEastAsia" w:hAnsiTheme="minorEastAsia" w:hint="eastAsia"/>
          <w:sz w:val="32"/>
          <w:szCs w:val="32"/>
          <w:shd w:val="clear" w:color="auto" w:fill="FFFFFF" w:themeFill="background1"/>
        </w:rPr>
        <w:t>万元，其余为医疗保障工作经费和州级统筹工作经费追加拨款。</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其他卫生健康支出</w:t>
      </w:r>
      <w:r>
        <w:rPr>
          <w:rFonts w:asciiTheme="minorEastAsia" w:eastAsiaTheme="minorEastAsia" w:hAnsiTheme="minorEastAsia"/>
          <w:sz w:val="32"/>
          <w:szCs w:val="32"/>
          <w:shd w:val="clear" w:color="auto" w:fill="FFFFFF" w:themeFill="background1"/>
        </w:rPr>
        <w:t>210</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99</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01</w:t>
      </w:r>
      <w:r>
        <w:rPr>
          <w:rFonts w:asciiTheme="minorEastAsia" w:eastAsiaTheme="minorEastAsia" w:hAnsiTheme="minorEastAsia" w:hint="eastAsia"/>
          <w:sz w:val="32"/>
          <w:szCs w:val="32"/>
          <w:shd w:val="clear" w:color="auto" w:fill="FFFFFF" w:themeFill="background1"/>
        </w:rPr>
        <w:t>（项），年初预算为0万元，支出决算为</w:t>
      </w:r>
      <w:r>
        <w:rPr>
          <w:rFonts w:asciiTheme="minorEastAsia" w:eastAsiaTheme="minorEastAsia" w:hAnsiTheme="minorEastAsia"/>
          <w:sz w:val="32"/>
          <w:szCs w:val="32"/>
          <w:shd w:val="clear" w:color="auto" w:fill="FFFFFF" w:themeFill="background1"/>
        </w:rPr>
        <w:t>30.57</w:t>
      </w:r>
      <w:r>
        <w:rPr>
          <w:rFonts w:asciiTheme="minorEastAsia" w:eastAsiaTheme="minorEastAsia" w:hAnsiTheme="minorEastAsia" w:hint="eastAsia"/>
          <w:sz w:val="32"/>
          <w:szCs w:val="32"/>
          <w:shd w:val="clear" w:color="auto" w:fill="FFFFFF" w:themeFill="background1"/>
        </w:rPr>
        <w:t>万元，决算数大于年初预算数的主要原因是：临时突发性工作追加预算。</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4.住房保障支出221（类）02（款）01（项）。</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年初预算为34.83万元，支出决算为34.83万元，完成年初预算的100%。</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5.抗疫特别国债安排支出</w:t>
      </w:r>
      <w:r>
        <w:rPr>
          <w:rFonts w:asciiTheme="minorEastAsia" w:eastAsiaTheme="minorEastAsia" w:hAnsiTheme="minorEastAsia"/>
          <w:sz w:val="32"/>
          <w:szCs w:val="32"/>
          <w:shd w:val="clear" w:color="auto" w:fill="FFFFFF" w:themeFill="background1"/>
        </w:rPr>
        <w:t>234</w:t>
      </w:r>
      <w:r>
        <w:rPr>
          <w:rFonts w:asciiTheme="minorEastAsia" w:eastAsiaTheme="minorEastAsia" w:hAnsiTheme="minorEastAsia" w:hint="eastAsia"/>
          <w:sz w:val="32"/>
          <w:szCs w:val="32"/>
          <w:shd w:val="clear" w:color="auto" w:fill="FFFFFF" w:themeFill="background1"/>
        </w:rPr>
        <w:t>（类）</w:t>
      </w:r>
      <w:r>
        <w:rPr>
          <w:rFonts w:asciiTheme="minorEastAsia" w:eastAsiaTheme="minorEastAsia" w:hAnsiTheme="minorEastAsia"/>
          <w:sz w:val="32"/>
          <w:szCs w:val="32"/>
          <w:shd w:val="clear" w:color="auto" w:fill="FFFFFF" w:themeFill="background1"/>
        </w:rPr>
        <w:t>02</w:t>
      </w:r>
      <w:r>
        <w:rPr>
          <w:rFonts w:asciiTheme="minorEastAsia" w:eastAsiaTheme="minorEastAsia" w:hAnsiTheme="minorEastAsia" w:hint="eastAsia"/>
          <w:sz w:val="32"/>
          <w:szCs w:val="32"/>
          <w:shd w:val="clear" w:color="auto" w:fill="FFFFFF" w:themeFill="background1"/>
        </w:rPr>
        <w:t>（款）</w:t>
      </w:r>
      <w:r>
        <w:rPr>
          <w:rFonts w:asciiTheme="minorEastAsia" w:eastAsiaTheme="minorEastAsia" w:hAnsiTheme="minorEastAsia"/>
          <w:sz w:val="32"/>
          <w:szCs w:val="32"/>
          <w:shd w:val="clear" w:color="auto" w:fill="FFFFFF" w:themeFill="background1"/>
        </w:rPr>
        <w:t>99</w:t>
      </w:r>
      <w:r>
        <w:rPr>
          <w:rFonts w:asciiTheme="minorEastAsia" w:eastAsiaTheme="minorEastAsia" w:hAnsiTheme="minorEastAsia" w:hint="eastAsia"/>
          <w:sz w:val="32"/>
          <w:szCs w:val="32"/>
          <w:shd w:val="clear" w:color="auto" w:fill="FFFFFF" w:themeFill="background1"/>
        </w:rPr>
        <w:t>（项）。</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年初预算为0万元，支出决算为10万元，决算数大于年</w:t>
      </w:r>
      <w:r>
        <w:rPr>
          <w:rFonts w:asciiTheme="minorEastAsia" w:eastAsiaTheme="minorEastAsia" w:hAnsiTheme="minorEastAsia" w:hint="eastAsia"/>
          <w:sz w:val="32"/>
          <w:szCs w:val="32"/>
          <w:shd w:val="clear" w:color="auto" w:fill="FFFFFF" w:themeFill="background1"/>
        </w:rPr>
        <w:lastRenderedPageBreak/>
        <w:t>初预算数的主要原因是：追加拨款。</w:t>
      </w:r>
    </w:p>
    <w:p w:rsidR="0057447D" w:rsidRDefault="007A4AFA">
      <w:pPr>
        <w:pStyle w:val="Default"/>
        <w:rPr>
          <w:rFonts w:hAnsi="黑体"/>
          <w:b/>
          <w:sz w:val="32"/>
          <w:szCs w:val="32"/>
          <w:shd w:val="clear" w:color="auto" w:fill="FFFFFF" w:themeFill="background1"/>
        </w:rPr>
      </w:pPr>
      <w:r>
        <w:rPr>
          <w:rFonts w:hAnsi="黑体" w:hint="eastAsia"/>
          <w:b/>
          <w:sz w:val="32"/>
          <w:szCs w:val="32"/>
          <w:shd w:val="clear" w:color="auto" w:fill="FFFFFF" w:themeFill="background1"/>
        </w:rPr>
        <w:t>六、一般公共预算财政拨款基本支出决算情况说明</w:t>
      </w:r>
    </w:p>
    <w:p w:rsidR="0057447D" w:rsidRDefault="007A4AFA" w:rsidP="00D80294">
      <w:pPr>
        <w:pStyle w:val="Default"/>
        <w:ind w:firstLineChars="200" w:firstLine="64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2020年度财政拨款基本支出742.53万元，其中：人员经费715.72万元，占基本支出的96.39%,主要包括基本工资、津贴补贴、奖金、职工基本医疗保险缴费、住房公积金、机关事业单位基本养老保险缴费。公用经费26.81万元，占基本支出的3.61%，主要包括办公费、印刷费、邮电费、物业管理费、会议费、培训费、劳务费、公务用车运行维护费、其他商品和服务支出。</w:t>
      </w:r>
    </w:p>
    <w:p w:rsidR="0057447D" w:rsidRDefault="007A4AFA">
      <w:pPr>
        <w:pStyle w:val="Default"/>
        <w:rPr>
          <w:rFonts w:hAnsi="黑体"/>
          <w:b/>
          <w:sz w:val="32"/>
          <w:szCs w:val="32"/>
          <w:shd w:val="clear" w:color="auto" w:fill="FFFFFF" w:themeFill="background1"/>
        </w:rPr>
      </w:pPr>
      <w:r>
        <w:rPr>
          <w:rFonts w:hAnsi="黑体" w:hint="eastAsia"/>
          <w:b/>
          <w:sz w:val="32"/>
          <w:szCs w:val="32"/>
          <w:shd w:val="clear" w:color="auto" w:fill="FFFFFF" w:themeFill="background1"/>
        </w:rPr>
        <w:t>七、一般公共预算财政拨款三公经费支出决算情况说明</w:t>
      </w:r>
    </w:p>
    <w:p w:rsidR="0057447D" w:rsidRDefault="007A4AFA">
      <w:pPr>
        <w:pStyle w:val="Default"/>
        <w:rPr>
          <w:rFonts w:asciiTheme="minorEastAsia" w:eastAsiaTheme="minorEastAsia" w:hAnsiTheme="minorEastAsia"/>
          <w:b/>
          <w:sz w:val="32"/>
          <w:szCs w:val="32"/>
          <w:shd w:val="clear" w:color="auto" w:fill="FFFFFF" w:themeFill="background1"/>
        </w:rPr>
      </w:pPr>
      <w:r>
        <w:rPr>
          <w:rFonts w:asciiTheme="minorEastAsia" w:eastAsiaTheme="minorEastAsia" w:hAnsiTheme="minorEastAsia" w:hint="eastAsia"/>
          <w:b/>
          <w:sz w:val="32"/>
          <w:szCs w:val="32"/>
          <w:shd w:val="clear" w:color="auto" w:fill="FFFFFF" w:themeFill="background1"/>
        </w:rPr>
        <w:t>（一）“三公”经费财政拨款支出决算总体情况说明</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“三公”经费财政拨款支出预算为34万元，支出决算为5.55万元，完成预算的16.17%，其中：</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公务接待费支出预算为17万元，支出决算为0.82万元，完成预算的4.88%，决算数小于年初预算数的主要原因是厉行节约，减少接待用餐，外来人员自行结账等，与上年相比减少1.25万元，减少60.1%,减少的主要原因是是认真贯彻落实“八项”规定要求，实行预算控制制度，严格控制公务接待数量、规模、接待标准等。</w:t>
      </w:r>
    </w:p>
    <w:p w:rsidR="0057447D" w:rsidRDefault="007A4AFA" w:rsidP="00D80294">
      <w:pPr>
        <w:pStyle w:val="Default"/>
        <w:ind w:firstLineChars="200" w:firstLine="64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公务用车购置费及运行维护费支出预算为17万元，支出决算为4.73万元，完成预算的27.82%，决算数小于年初预算</w:t>
      </w:r>
      <w:r>
        <w:rPr>
          <w:rFonts w:asciiTheme="minorEastAsia" w:eastAsiaTheme="minorEastAsia" w:hAnsiTheme="minorEastAsia" w:hint="eastAsia"/>
          <w:sz w:val="32"/>
          <w:szCs w:val="32"/>
          <w:shd w:val="clear" w:color="auto" w:fill="FFFFFF" w:themeFill="background1"/>
        </w:rPr>
        <w:lastRenderedPageBreak/>
        <w:t>数的主要原因是我单位加强了内部预算控制，严格控制公务用车经费，与上年相比增加2.89万元，增长157.1%,增长的主要原因是今年相关业务科室经常下到各县实地检查指导工作。</w:t>
      </w:r>
    </w:p>
    <w:p w:rsidR="0057447D" w:rsidRDefault="007A4AFA">
      <w:pPr>
        <w:pStyle w:val="Default"/>
        <w:rPr>
          <w:rFonts w:asciiTheme="minorEastAsia" w:eastAsiaTheme="minorEastAsia" w:hAnsiTheme="minorEastAsia"/>
          <w:b/>
          <w:sz w:val="32"/>
          <w:szCs w:val="32"/>
          <w:shd w:val="clear" w:color="auto" w:fill="FFFFFF" w:themeFill="background1"/>
        </w:rPr>
      </w:pPr>
      <w:r>
        <w:rPr>
          <w:rFonts w:asciiTheme="minorEastAsia" w:eastAsiaTheme="minorEastAsia" w:hAnsiTheme="minorEastAsia" w:hint="eastAsia"/>
          <w:b/>
          <w:sz w:val="32"/>
          <w:szCs w:val="32"/>
          <w:shd w:val="clear" w:color="auto" w:fill="FFFFFF" w:themeFill="background1"/>
        </w:rPr>
        <w:t>（二）“三公”经费财政拨款支出决算具体情况说明</w:t>
      </w:r>
    </w:p>
    <w:p w:rsidR="0057447D" w:rsidRDefault="007A4AFA" w:rsidP="00D80294">
      <w:pPr>
        <w:pStyle w:val="Default"/>
        <w:ind w:firstLineChars="200" w:firstLine="64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2020年度“三公”经费财政拨款支出决算中，公务接待费支出决算0.82万元，占14.95%,因公出国（境）费支出决算0万元，公务用车购置费及运行维护费支出决算4.73万元，占85.05%。其中：</w:t>
      </w:r>
    </w:p>
    <w:p w:rsidR="0057447D" w:rsidRDefault="007A4AFA" w:rsidP="00D80294">
      <w:pPr>
        <w:pStyle w:val="Default"/>
        <w:ind w:firstLineChars="250" w:firstLine="80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1、公务接待费支出决算为0.82万元，全年共接待来访团组23个、来宾241人次，</w:t>
      </w:r>
      <w:r>
        <w:rPr>
          <w:rFonts w:ascii="宋体" w:eastAsia="宋体" w:hAnsi="宋体"/>
          <w:sz w:val="32"/>
          <w:szCs w:val="32"/>
          <w:shd w:val="clear" w:color="auto" w:fill="FFFFFF" w:themeFill="background1"/>
        </w:rPr>
        <w:t>主要是</w:t>
      </w:r>
      <w:r>
        <w:rPr>
          <w:rFonts w:ascii="宋体" w:eastAsia="宋体" w:hAnsi="宋体" w:hint="eastAsia"/>
          <w:sz w:val="32"/>
          <w:szCs w:val="32"/>
          <w:shd w:val="clear" w:color="auto" w:fill="FFFFFF" w:themeFill="background1"/>
        </w:rPr>
        <w:t>兄弟县市业务交流及各县单位衔接相关工作</w:t>
      </w:r>
      <w:r>
        <w:rPr>
          <w:rFonts w:ascii="宋体" w:eastAsia="宋体" w:hAnsi="宋体"/>
          <w:sz w:val="32"/>
          <w:szCs w:val="32"/>
          <w:shd w:val="clear" w:color="auto" w:fill="FFFFFF" w:themeFill="background1"/>
        </w:rPr>
        <w:t>发生的接待支出。</w:t>
      </w:r>
    </w:p>
    <w:p w:rsidR="0057447D" w:rsidRDefault="007A4AFA" w:rsidP="00D80294">
      <w:pPr>
        <w:ind w:firstLineChars="250" w:firstLine="800"/>
        <w:rPr>
          <w:rFonts w:asciiTheme="minorEastAsia" w:hAnsiTheme="minorEastAsia" w:cs="黑体"/>
          <w:color w:val="000000"/>
          <w:kern w:val="0"/>
          <w:sz w:val="32"/>
          <w:szCs w:val="32"/>
          <w:shd w:val="clear" w:color="auto" w:fill="FFFFFF" w:themeFill="background1"/>
        </w:rPr>
      </w:pPr>
      <w:r>
        <w:rPr>
          <w:rFonts w:asciiTheme="minorEastAsia" w:hAnsiTheme="minorEastAsia" w:hint="eastAsia"/>
          <w:sz w:val="32"/>
          <w:szCs w:val="32"/>
          <w:shd w:val="clear" w:color="auto" w:fill="FFFFFF" w:themeFill="background1"/>
        </w:rPr>
        <w:t>3、公务用车购置费及运行维护费支出决算为4.73万元，其中：公务用车运行维护费4.73万元，主要是燃油费支出，截止2020年12月31日，我单位开支财政拨款的公务用车保有量为1辆。</w:t>
      </w:r>
    </w:p>
    <w:p w:rsidR="0057447D" w:rsidRDefault="007A4AFA">
      <w:pPr>
        <w:pStyle w:val="Default"/>
        <w:rPr>
          <w:rFonts w:hAnsi="黑体"/>
          <w:b/>
          <w:sz w:val="32"/>
          <w:szCs w:val="32"/>
          <w:shd w:val="clear" w:color="auto" w:fill="FFFFFF" w:themeFill="background1"/>
        </w:rPr>
      </w:pPr>
      <w:r>
        <w:rPr>
          <w:rFonts w:hAnsi="黑体" w:hint="eastAsia"/>
          <w:b/>
          <w:sz w:val="32"/>
          <w:szCs w:val="32"/>
          <w:shd w:val="clear" w:color="auto" w:fill="FFFFFF" w:themeFill="background1"/>
        </w:rPr>
        <w:t>八、政府性基金预算收入支出决算情况</w:t>
      </w:r>
    </w:p>
    <w:p w:rsidR="0057447D" w:rsidRDefault="007A4AFA">
      <w:pPr>
        <w:pStyle w:val="Default"/>
        <w:rPr>
          <w:rFonts w:asciiTheme="minorEastAsia" w:eastAsiaTheme="minorEastAsia" w:hAnsiTheme="minorEastAsia"/>
          <w:i/>
          <w:color w:val="FF0000"/>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 xml:space="preserve">     2020年度政府性基金预算财政拨款收入10万元；年初结转和结余0万元；支出10万元，其中基本支出0万元，项目支出10万元；年末结转和结余0万元。</w:t>
      </w:r>
    </w:p>
    <w:p w:rsidR="0057447D" w:rsidRDefault="007A4AFA">
      <w:pPr>
        <w:pStyle w:val="Default"/>
        <w:spacing w:line="500" w:lineRule="exact"/>
        <w:rPr>
          <w:rFonts w:hAnsi="黑体"/>
          <w:sz w:val="32"/>
          <w:szCs w:val="32"/>
          <w:shd w:val="clear" w:color="auto" w:fill="FFFFFF" w:themeFill="background1"/>
        </w:rPr>
      </w:pPr>
      <w:r>
        <w:rPr>
          <w:rFonts w:hAnsi="黑体" w:hint="eastAsia"/>
          <w:sz w:val="32"/>
          <w:szCs w:val="32"/>
          <w:shd w:val="clear" w:color="auto" w:fill="FFFFFF" w:themeFill="background1"/>
        </w:rPr>
        <w:t>九、国有资本经营预算支出决算情况</w:t>
      </w:r>
    </w:p>
    <w:p w:rsidR="0057447D" w:rsidRDefault="007A4AFA" w:rsidP="00D80294">
      <w:pPr>
        <w:pStyle w:val="Default"/>
        <w:ind w:firstLineChars="200" w:firstLine="64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lastRenderedPageBreak/>
        <w:t>2020年度本单位无国有资本经营收支。</w:t>
      </w:r>
    </w:p>
    <w:p w:rsidR="0057447D" w:rsidRDefault="007A4AFA">
      <w:pPr>
        <w:pStyle w:val="Default"/>
        <w:rPr>
          <w:rFonts w:hAnsi="黑体"/>
          <w:b/>
          <w:sz w:val="32"/>
          <w:szCs w:val="32"/>
          <w:shd w:val="clear" w:color="auto" w:fill="FFFFFF" w:themeFill="background1"/>
        </w:rPr>
      </w:pPr>
      <w:r>
        <w:rPr>
          <w:rFonts w:hAnsi="黑体" w:hint="eastAsia"/>
          <w:i/>
          <w:color w:val="000000" w:themeColor="text1"/>
          <w:sz w:val="32"/>
          <w:szCs w:val="32"/>
          <w:shd w:val="clear" w:color="auto" w:fill="FFFFFF" w:themeFill="background1"/>
        </w:rPr>
        <w:t>十、</w:t>
      </w:r>
      <w:r>
        <w:rPr>
          <w:rFonts w:hAnsi="黑体" w:hint="eastAsia"/>
          <w:b/>
          <w:sz w:val="32"/>
          <w:szCs w:val="32"/>
          <w:shd w:val="clear" w:color="auto" w:fill="FFFFFF" w:themeFill="background1"/>
        </w:rPr>
        <w:t>关于2020年度预算绩效情况的说明</w:t>
      </w:r>
    </w:p>
    <w:p w:rsidR="0057447D" w:rsidRDefault="007A4AFA" w:rsidP="00D80294">
      <w:pPr>
        <w:pStyle w:val="Default"/>
        <w:ind w:firstLineChars="200" w:firstLine="64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本部门预算绩效管理开展情况、绩效目标和绩效评价报告等见附件。</w:t>
      </w:r>
    </w:p>
    <w:p w:rsidR="0057447D" w:rsidRDefault="007A4AFA">
      <w:pPr>
        <w:pStyle w:val="Default"/>
        <w:rPr>
          <w:rFonts w:hAnsi="黑体"/>
          <w:b/>
          <w:bCs/>
          <w:i/>
          <w:color w:val="000000" w:themeColor="text1"/>
          <w:sz w:val="32"/>
          <w:szCs w:val="32"/>
          <w:shd w:val="clear" w:color="auto" w:fill="FFFFFF" w:themeFill="background1"/>
        </w:rPr>
      </w:pPr>
      <w:r>
        <w:rPr>
          <w:rFonts w:hAnsi="黑体" w:hint="eastAsia"/>
          <w:b/>
          <w:bCs/>
          <w:i/>
          <w:color w:val="000000" w:themeColor="text1"/>
          <w:sz w:val="32"/>
          <w:szCs w:val="32"/>
          <w:shd w:val="clear" w:color="auto" w:fill="FFFFFF" w:themeFill="background1"/>
        </w:rPr>
        <w:t>十一、其他重要事项情况说明</w:t>
      </w:r>
    </w:p>
    <w:p w:rsidR="0057447D" w:rsidRDefault="007A4AFA">
      <w:pPr>
        <w:pStyle w:val="Default"/>
        <w:rPr>
          <w:rFonts w:hAnsi="黑体"/>
          <w:b/>
          <w:sz w:val="32"/>
          <w:szCs w:val="32"/>
          <w:shd w:val="clear" w:color="auto" w:fill="FFFFFF" w:themeFill="background1"/>
        </w:rPr>
      </w:pPr>
      <w:r>
        <w:rPr>
          <w:rFonts w:hAnsi="黑体" w:hint="eastAsia"/>
          <w:b/>
          <w:sz w:val="32"/>
          <w:szCs w:val="32"/>
          <w:shd w:val="clear" w:color="auto" w:fill="FFFFFF" w:themeFill="background1"/>
        </w:rPr>
        <w:t>（一）关于机关运行经费支出情况</w:t>
      </w:r>
    </w:p>
    <w:p w:rsidR="0057447D" w:rsidRDefault="007A4AFA" w:rsidP="00D80294">
      <w:pPr>
        <w:pStyle w:val="Default"/>
        <w:ind w:firstLineChars="200" w:firstLine="640"/>
        <w:rPr>
          <w:rFonts w:ascii="仿宋" w:eastAsia="仿宋" w:hAnsi="仿宋" w:cs="仿宋"/>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本部门2020年度机关运行经费支出26.81万元，比年初预算数（或者上年决算数）减少7.78万元，降低22.49%。主要原因是：</w:t>
      </w:r>
      <w:r>
        <w:rPr>
          <w:rFonts w:ascii="宋体" w:eastAsia="宋体" w:hAnsi="宋体" w:hint="eastAsia"/>
          <w:sz w:val="32"/>
          <w:szCs w:val="32"/>
          <w:shd w:val="clear" w:color="auto" w:fill="FFFFFF" w:themeFill="background1"/>
        </w:rPr>
        <w:t>我单位厉行勤俭节约，压缩开支。</w:t>
      </w:r>
    </w:p>
    <w:p w:rsidR="0057447D" w:rsidRDefault="007A4AFA" w:rsidP="00D80294">
      <w:pPr>
        <w:pStyle w:val="Default"/>
        <w:ind w:firstLineChars="200" w:firstLine="643"/>
        <w:rPr>
          <w:rFonts w:hAnsi="黑体"/>
          <w:b/>
          <w:sz w:val="32"/>
          <w:szCs w:val="32"/>
          <w:shd w:val="clear" w:color="auto" w:fill="FFFFFF" w:themeFill="background1"/>
        </w:rPr>
      </w:pPr>
      <w:r>
        <w:rPr>
          <w:rFonts w:hAnsi="黑体" w:hint="eastAsia"/>
          <w:b/>
          <w:sz w:val="32"/>
          <w:szCs w:val="32"/>
          <w:shd w:val="clear" w:color="auto" w:fill="FFFFFF" w:themeFill="background1"/>
        </w:rPr>
        <w:t>（二）一般性支出情况</w:t>
      </w:r>
    </w:p>
    <w:p w:rsidR="0057447D" w:rsidRDefault="007A4AFA">
      <w:pPr>
        <w:widowControl/>
        <w:spacing w:line="600" w:lineRule="exact"/>
        <w:ind w:firstLine="660"/>
        <w:rPr>
          <w:rFonts w:eastAsia="仿宋_GB2312"/>
          <w:kern w:val="0"/>
          <w:sz w:val="32"/>
          <w:szCs w:val="32"/>
          <w:shd w:val="clear" w:color="auto" w:fill="FFFFFF" w:themeFill="background1"/>
        </w:rPr>
      </w:pPr>
      <w:r>
        <w:rPr>
          <w:rFonts w:eastAsia="仿宋_GB2312" w:hint="eastAsia"/>
          <w:kern w:val="0"/>
          <w:sz w:val="32"/>
          <w:szCs w:val="32"/>
          <w:shd w:val="clear" w:color="auto" w:fill="FFFFFF" w:themeFill="background1"/>
        </w:rPr>
        <w:t>2020</w:t>
      </w:r>
      <w:r>
        <w:rPr>
          <w:rFonts w:eastAsia="仿宋_GB2312"/>
          <w:kern w:val="0"/>
          <w:sz w:val="32"/>
          <w:szCs w:val="32"/>
          <w:shd w:val="clear" w:color="auto" w:fill="FFFFFF" w:themeFill="background1"/>
        </w:rPr>
        <w:t>年本部门会议费预算</w:t>
      </w:r>
      <w:r>
        <w:rPr>
          <w:rFonts w:eastAsia="仿宋_GB2312" w:hint="eastAsia"/>
          <w:kern w:val="0"/>
          <w:sz w:val="32"/>
          <w:szCs w:val="32"/>
          <w:shd w:val="clear" w:color="auto" w:fill="FFFFFF" w:themeFill="background1"/>
        </w:rPr>
        <w:t>5</w:t>
      </w:r>
      <w:r>
        <w:rPr>
          <w:rFonts w:eastAsia="仿宋_GB2312"/>
          <w:kern w:val="0"/>
          <w:sz w:val="32"/>
          <w:szCs w:val="32"/>
          <w:shd w:val="clear" w:color="auto" w:fill="FFFFFF" w:themeFill="background1"/>
        </w:rPr>
        <w:t>万元，拟召开</w:t>
      </w:r>
      <w:r>
        <w:rPr>
          <w:rFonts w:eastAsia="仿宋_GB2312" w:hint="eastAsia"/>
          <w:kern w:val="0"/>
          <w:sz w:val="32"/>
          <w:szCs w:val="32"/>
          <w:shd w:val="clear" w:color="auto" w:fill="FFFFFF" w:themeFill="background1"/>
        </w:rPr>
        <w:t>5</w:t>
      </w:r>
      <w:r w:rsidR="003E0B6F">
        <w:rPr>
          <w:rFonts w:eastAsia="仿宋_GB2312" w:hint="eastAsia"/>
          <w:kern w:val="0"/>
          <w:sz w:val="32"/>
          <w:szCs w:val="32"/>
          <w:shd w:val="clear" w:color="auto" w:fill="FFFFFF" w:themeFill="background1"/>
        </w:rPr>
        <w:t>次</w:t>
      </w:r>
      <w:r>
        <w:rPr>
          <w:rFonts w:eastAsia="仿宋_GB2312"/>
          <w:kern w:val="0"/>
          <w:sz w:val="32"/>
          <w:szCs w:val="32"/>
          <w:shd w:val="clear" w:color="auto" w:fill="FFFFFF" w:themeFill="background1"/>
        </w:rPr>
        <w:t>会议，人数</w:t>
      </w:r>
      <w:r>
        <w:rPr>
          <w:rFonts w:eastAsia="仿宋_GB2312" w:hint="eastAsia"/>
          <w:kern w:val="0"/>
          <w:sz w:val="32"/>
          <w:szCs w:val="32"/>
          <w:shd w:val="clear" w:color="auto" w:fill="FFFFFF" w:themeFill="background1"/>
        </w:rPr>
        <w:t>131</w:t>
      </w:r>
      <w:r>
        <w:rPr>
          <w:rFonts w:eastAsia="仿宋_GB2312"/>
          <w:kern w:val="0"/>
          <w:sz w:val="32"/>
          <w:szCs w:val="32"/>
          <w:shd w:val="clear" w:color="auto" w:fill="FFFFFF" w:themeFill="background1"/>
        </w:rPr>
        <w:t>人，内容为</w:t>
      </w:r>
      <w:r>
        <w:rPr>
          <w:rFonts w:eastAsia="仿宋_GB2312" w:hint="eastAsia"/>
          <w:kern w:val="0"/>
          <w:sz w:val="32"/>
          <w:szCs w:val="32"/>
          <w:shd w:val="clear" w:color="auto" w:fill="FFFFFF" w:themeFill="background1"/>
        </w:rPr>
        <w:t>全州医疗保障工作会议及相关科室工作会议，本部门开支会议费决算</w:t>
      </w:r>
      <w:r>
        <w:rPr>
          <w:rFonts w:eastAsia="仿宋_GB2312" w:hint="eastAsia"/>
          <w:kern w:val="0"/>
          <w:sz w:val="32"/>
          <w:szCs w:val="32"/>
          <w:shd w:val="clear" w:color="auto" w:fill="FFFFFF" w:themeFill="background1"/>
        </w:rPr>
        <w:t>0.15</w:t>
      </w:r>
      <w:r>
        <w:rPr>
          <w:rFonts w:eastAsia="仿宋_GB2312" w:hint="eastAsia"/>
          <w:kern w:val="0"/>
          <w:sz w:val="32"/>
          <w:szCs w:val="32"/>
          <w:shd w:val="clear" w:color="auto" w:fill="FFFFFF" w:themeFill="background1"/>
        </w:rPr>
        <w:t>万元；</w:t>
      </w:r>
      <w:r>
        <w:rPr>
          <w:rFonts w:eastAsia="仿宋_GB2312"/>
          <w:kern w:val="0"/>
          <w:sz w:val="32"/>
          <w:szCs w:val="32"/>
          <w:shd w:val="clear" w:color="auto" w:fill="FFFFFF" w:themeFill="background1"/>
        </w:rPr>
        <w:t>培训费预算</w:t>
      </w:r>
      <w:r>
        <w:rPr>
          <w:rFonts w:eastAsia="仿宋_GB2312" w:hint="eastAsia"/>
          <w:kern w:val="0"/>
          <w:sz w:val="32"/>
          <w:szCs w:val="32"/>
          <w:shd w:val="clear" w:color="auto" w:fill="FFFFFF" w:themeFill="background1"/>
        </w:rPr>
        <w:t>4.36</w:t>
      </w:r>
      <w:r>
        <w:rPr>
          <w:rFonts w:eastAsia="仿宋_GB2312"/>
          <w:kern w:val="0"/>
          <w:sz w:val="32"/>
          <w:szCs w:val="32"/>
          <w:shd w:val="clear" w:color="auto" w:fill="FFFFFF" w:themeFill="background1"/>
        </w:rPr>
        <w:t>万元，拟开展</w:t>
      </w:r>
      <w:r>
        <w:rPr>
          <w:rFonts w:eastAsia="仿宋_GB2312" w:hint="eastAsia"/>
          <w:kern w:val="0"/>
          <w:sz w:val="32"/>
          <w:szCs w:val="32"/>
          <w:shd w:val="clear" w:color="auto" w:fill="FFFFFF" w:themeFill="background1"/>
        </w:rPr>
        <w:t>4</w:t>
      </w:r>
      <w:r w:rsidR="003E0B6F">
        <w:rPr>
          <w:rFonts w:eastAsia="仿宋_GB2312" w:hint="eastAsia"/>
          <w:kern w:val="0"/>
          <w:sz w:val="32"/>
          <w:szCs w:val="32"/>
          <w:shd w:val="clear" w:color="auto" w:fill="FFFFFF" w:themeFill="background1"/>
        </w:rPr>
        <w:t>次</w:t>
      </w:r>
      <w:r>
        <w:rPr>
          <w:rFonts w:eastAsia="仿宋_GB2312"/>
          <w:kern w:val="0"/>
          <w:sz w:val="32"/>
          <w:szCs w:val="32"/>
          <w:shd w:val="clear" w:color="auto" w:fill="FFFFFF" w:themeFill="background1"/>
        </w:rPr>
        <w:t>培训，人数</w:t>
      </w:r>
      <w:r>
        <w:rPr>
          <w:rFonts w:eastAsia="仿宋_GB2312" w:hint="eastAsia"/>
          <w:kern w:val="0"/>
          <w:sz w:val="32"/>
          <w:szCs w:val="32"/>
          <w:shd w:val="clear" w:color="auto" w:fill="FFFFFF" w:themeFill="background1"/>
        </w:rPr>
        <w:t>109</w:t>
      </w:r>
      <w:r>
        <w:rPr>
          <w:rFonts w:eastAsia="仿宋_GB2312"/>
          <w:kern w:val="0"/>
          <w:sz w:val="32"/>
          <w:szCs w:val="32"/>
          <w:shd w:val="clear" w:color="auto" w:fill="FFFFFF" w:themeFill="background1"/>
        </w:rPr>
        <w:t>人，内容为</w:t>
      </w:r>
      <w:r>
        <w:rPr>
          <w:rFonts w:eastAsia="仿宋_GB2312" w:hint="eastAsia"/>
          <w:kern w:val="0"/>
          <w:sz w:val="32"/>
          <w:szCs w:val="32"/>
          <w:shd w:val="clear" w:color="auto" w:fill="FFFFFF" w:themeFill="background1"/>
        </w:rPr>
        <w:t>相关科室根据医保工作安排，进行的相应的培训，一般为业务类培训。决算开支培训费</w:t>
      </w:r>
      <w:r>
        <w:rPr>
          <w:rFonts w:eastAsia="仿宋_GB2312" w:hint="eastAsia"/>
          <w:kern w:val="0"/>
          <w:sz w:val="32"/>
          <w:szCs w:val="32"/>
          <w:shd w:val="clear" w:color="auto" w:fill="FFFFFF" w:themeFill="background1"/>
        </w:rPr>
        <w:t>0.73</w:t>
      </w:r>
      <w:r>
        <w:rPr>
          <w:rFonts w:eastAsia="仿宋_GB2312" w:hint="eastAsia"/>
          <w:kern w:val="0"/>
          <w:sz w:val="32"/>
          <w:szCs w:val="32"/>
          <w:shd w:val="clear" w:color="auto" w:fill="FFFFFF" w:themeFill="background1"/>
        </w:rPr>
        <w:t>万元。</w:t>
      </w:r>
    </w:p>
    <w:p w:rsidR="0057447D" w:rsidRDefault="007A4AFA">
      <w:pPr>
        <w:pStyle w:val="Default"/>
        <w:rPr>
          <w:rFonts w:hAnsi="黑体"/>
          <w:b/>
          <w:sz w:val="32"/>
          <w:szCs w:val="32"/>
          <w:shd w:val="clear" w:color="auto" w:fill="FFFFFF" w:themeFill="background1"/>
        </w:rPr>
      </w:pPr>
      <w:r>
        <w:rPr>
          <w:rFonts w:hAnsi="黑体" w:hint="eastAsia"/>
          <w:b/>
          <w:sz w:val="32"/>
          <w:szCs w:val="32"/>
          <w:shd w:val="clear" w:color="auto" w:fill="FFFFFF" w:themeFill="background1"/>
        </w:rPr>
        <w:t>（三）政府采购支出情况</w:t>
      </w:r>
    </w:p>
    <w:p w:rsidR="0057447D" w:rsidRDefault="007A4AFA" w:rsidP="00D80294">
      <w:pPr>
        <w:pStyle w:val="Default"/>
        <w:ind w:firstLineChars="200" w:firstLine="64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本部门2020年度政府采购支出总额4.58万元，其中：政府采购货物支出4.58万元、政府采购工程支出0 万元、政府采购服务支出0万元。授予中小企业合同金额0万元，占政府采购支出总额的0%，其中：授予小微企业合同金额0万元，占政府采购支出总额的0%。</w:t>
      </w:r>
    </w:p>
    <w:p w:rsidR="0057447D" w:rsidRDefault="007A4AFA" w:rsidP="00D80294">
      <w:pPr>
        <w:pStyle w:val="Default"/>
        <w:ind w:firstLineChars="100" w:firstLine="321"/>
        <w:rPr>
          <w:rFonts w:hAnsi="黑体"/>
          <w:b/>
          <w:sz w:val="32"/>
          <w:szCs w:val="32"/>
          <w:shd w:val="clear" w:color="auto" w:fill="FFFFFF" w:themeFill="background1"/>
        </w:rPr>
      </w:pPr>
      <w:r>
        <w:rPr>
          <w:rFonts w:hAnsi="黑体" w:hint="eastAsia"/>
          <w:b/>
          <w:sz w:val="32"/>
          <w:szCs w:val="32"/>
          <w:shd w:val="clear" w:color="auto" w:fill="FFFFFF" w:themeFill="background1"/>
        </w:rPr>
        <w:lastRenderedPageBreak/>
        <w:t>（四）国有资产占用情况</w:t>
      </w:r>
    </w:p>
    <w:p w:rsidR="0057447D" w:rsidRDefault="007A4AFA" w:rsidP="00D80294">
      <w:pPr>
        <w:pStyle w:val="Default"/>
        <w:ind w:firstLineChars="200" w:firstLine="640"/>
        <w:rPr>
          <w:rFonts w:asciiTheme="minorEastAsia" w:eastAsiaTheme="minorEastAsia" w:hAnsiTheme="minorEastAsia"/>
          <w:sz w:val="32"/>
          <w:szCs w:val="32"/>
          <w:shd w:val="clear" w:color="auto" w:fill="FFFFFF" w:themeFill="background1"/>
        </w:rPr>
      </w:pPr>
      <w:r>
        <w:rPr>
          <w:rFonts w:asciiTheme="minorEastAsia" w:eastAsiaTheme="minorEastAsia" w:hAnsiTheme="minorEastAsia" w:hint="eastAsia"/>
          <w:sz w:val="32"/>
          <w:szCs w:val="32"/>
          <w:shd w:val="clear" w:color="auto" w:fill="FFFFFF" w:themeFill="background1"/>
        </w:rPr>
        <w:t>截至2020年12月31日，本单位共有车辆1辆，其中其他用车1辆，其他用车主要是</w:t>
      </w:r>
      <w:r>
        <w:rPr>
          <w:rFonts w:ascii="宋体" w:eastAsia="宋体" w:hAnsi="宋体" w:hint="eastAsia"/>
          <w:sz w:val="32"/>
          <w:szCs w:val="32"/>
          <w:shd w:val="clear" w:color="auto" w:fill="FFFFFF" w:themeFill="background1"/>
        </w:rPr>
        <w:t>日常公务用车</w:t>
      </w:r>
      <w:r>
        <w:rPr>
          <w:rFonts w:asciiTheme="minorEastAsia" w:eastAsiaTheme="minorEastAsia" w:hAnsiTheme="minorEastAsia" w:hint="eastAsia"/>
          <w:sz w:val="32"/>
          <w:szCs w:val="32"/>
          <w:shd w:val="clear" w:color="auto" w:fill="FFFFFF" w:themeFill="background1"/>
        </w:rPr>
        <w:t>；单位价值50万元以上通用设备0台（套）；单位价值100万元以上专用设备0台（套）。</w:t>
      </w: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57447D">
      <w:pPr>
        <w:pStyle w:val="Default"/>
        <w:rPr>
          <w:sz w:val="72"/>
          <w:szCs w:val="72"/>
          <w:shd w:val="clear" w:color="auto" w:fill="FFFFFF" w:themeFill="background1"/>
        </w:rPr>
      </w:pPr>
    </w:p>
    <w:p w:rsidR="0057447D" w:rsidRDefault="0057447D">
      <w:pPr>
        <w:pStyle w:val="Default"/>
        <w:rPr>
          <w:sz w:val="72"/>
          <w:szCs w:val="72"/>
          <w:shd w:val="clear" w:color="auto" w:fill="FFFFFF" w:themeFill="background1"/>
        </w:rPr>
      </w:pPr>
    </w:p>
    <w:p w:rsidR="0057447D" w:rsidRDefault="0057447D">
      <w:pPr>
        <w:pStyle w:val="Default"/>
        <w:rPr>
          <w:sz w:val="72"/>
          <w:szCs w:val="72"/>
          <w:shd w:val="clear" w:color="auto" w:fill="FFFFFF" w:themeFill="background1"/>
        </w:rPr>
      </w:pPr>
    </w:p>
    <w:p w:rsidR="0057447D" w:rsidRDefault="0057447D">
      <w:pPr>
        <w:pStyle w:val="Default"/>
        <w:rPr>
          <w:sz w:val="72"/>
          <w:szCs w:val="72"/>
          <w:shd w:val="clear" w:color="auto" w:fill="FFFFFF" w:themeFill="background1"/>
        </w:rPr>
      </w:pPr>
    </w:p>
    <w:p w:rsidR="0057447D" w:rsidRDefault="0057447D">
      <w:pPr>
        <w:pStyle w:val="Default"/>
        <w:rPr>
          <w:sz w:val="72"/>
          <w:szCs w:val="72"/>
          <w:shd w:val="clear" w:color="auto" w:fill="FFFFFF" w:themeFill="background1"/>
        </w:rPr>
      </w:pPr>
    </w:p>
    <w:p w:rsidR="0057447D" w:rsidRDefault="0057447D">
      <w:pPr>
        <w:pStyle w:val="Default"/>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7A4AFA">
      <w:pPr>
        <w:pStyle w:val="Default"/>
        <w:jc w:val="center"/>
        <w:rPr>
          <w:sz w:val="72"/>
          <w:szCs w:val="72"/>
          <w:shd w:val="clear" w:color="auto" w:fill="FFFFFF" w:themeFill="background1"/>
        </w:rPr>
      </w:pPr>
      <w:r>
        <w:rPr>
          <w:rFonts w:hint="eastAsia"/>
          <w:sz w:val="72"/>
          <w:szCs w:val="72"/>
          <w:shd w:val="clear" w:color="auto" w:fill="FFFFFF" w:themeFill="background1"/>
        </w:rPr>
        <w:lastRenderedPageBreak/>
        <w:t>第四部分</w:t>
      </w:r>
    </w:p>
    <w:p w:rsidR="0057447D" w:rsidRDefault="0057447D">
      <w:pPr>
        <w:jc w:val="center"/>
        <w:rPr>
          <w:rFonts w:ascii="黑体" w:eastAsia="黑体" w:cs="黑体"/>
          <w:color w:val="000000"/>
          <w:kern w:val="0"/>
          <w:sz w:val="70"/>
          <w:szCs w:val="70"/>
          <w:shd w:val="clear" w:color="auto" w:fill="FFFFFF" w:themeFill="background1"/>
        </w:rPr>
      </w:pPr>
    </w:p>
    <w:p w:rsidR="0057447D" w:rsidRDefault="007A4AFA">
      <w:pPr>
        <w:jc w:val="center"/>
        <w:rPr>
          <w:rFonts w:ascii="黑体" w:eastAsia="黑体" w:cs="黑体"/>
          <w:color w:val="000000"/>
          <w:kern w:val="0"/>
          <w:sz w:val="70"/>
          <w:szCs w:val="70"/>
          <w:shd w:val="clear" w:color="auto" w:fill="FFFFFF" w:themeFill="background1"/>
        </w:rPr>
      </w:pPr>
      <w:r>
        <w:rPr>
          <w:rFonts w:ascii="黑体" w:eastAsia="黑体" w:cs="黑体" w:hint="eastAsia"/>
          <w:color w:val="000000"/>
          <w:kern w:val="0"/>
          <w:sz w:val="70"/>
          <w:szCs w:val="70"/>
          <w:shd w:val="clear" w:color="auto" w:fill="FFFFFF" w:themeFill="background1"/>
        </w:rPr>
        <w:t>名词解释</w:t>
      </w:r>
      <w:r>
        <w:rPr>
          <w:rFonts w:ascii="黑体" w:eastAsia="黑体" w:cs="黑体"/>
          <w:color w:val="000000"/>
          <w:kern w:val="0"/>
          <w:sz w:val="70"/>
          <w:szCs w:val="70"/>
          <w:shd w:val="clear" w:color="auto" w:fill="FFFFFF" w:themeFill="background1"/>
        </w:rPr>
        <w:br w:type="page"/>
      </w:r>
    </w:p>
    <w:p w:rsidR="0057447D" w:rsidRDefault="0057447D" w:rsidP="00D80294">
      <w:pPr>
        <w:ind w:firstLineChars="200" w:firstLine="640"/>
        <w:jc w:val="left"/>
        <w:rPr>
          <w:rFonts w:asciiTheme="minorEastAsia" w:hAnsiTheme="minorEastAsia" w:cs="黑体"/>
          <w:color w:val="000000"/>
          <w:kern w:val="0"/>
          <w:sz w:val="32"/>
          <w:szCs w:val="32"/>
          <w:shd w:val="clear" w:color="auto" w:fill="FFFFFF" w:themeFill="background1"/>
        </w:rPr>
      </w:pPr>
    </w:p>
    <w:p w:rsidR="0057447D" w:rsidRDefault="007A4AFA">
      <w:pPr>
        <w:pStyle w:val="a7"/>
        <w:shd w:val="clear" w:color="auto" w:fill="FFFFFF"/>
        <w:spacing w:before="0" w:beforeAutospacing="0" w:after="0" w:afterAutospacing="0" w:line="480" w:lineRule="auto"/>
        <w:ind w:firstLine="480"/>
        <w:textAlignment w:val="center"/>
        <w:rPr>
          <w:color w:val="333333"/>
          <w:shd w:val="clear" w:color="auto" w:fill="FFFFFF" w:themeFill="background1"/>
        </w:rPr>
      </w:pPr>
      <w:r>
        <w:rPr>
          <w:rFonts w:hint="eastAsia"/>
          <w:color w:val="333333"/>
          <w:shd w:val="clear" w:color="auto" w:fill="FFFFFF" w:themeFill="background1"/>
        </w:rPr>
        <w:t>一、“一般公共财政拨款收入”:指中央财政当年拨付的资金。</w:t>
      </w:r>
    </w:p>
    <w:p w:rsidR="0057447D" w:rsidRDefault="007A4AFA">
      <w:pPr>
        <w:pStyle w:val="a7"/>
        <w:shd w:val="clear" w:color="auto" w:fill="FFFFFF"/>
        <w:spacing w:before="0" w:beforeAutospacing="0" w:after="0" w:afterAutospacing="0" w:line="480" w:lineRule="auto"/>
        <w:ind w:firstLine="480"/>
        <w:textAlignment w:val="center"/>
        <w:rPr>
          <w:color w:val="333333"/>
          <w:shd w:val="clear" w:color="auto" w:fill="FFFFFF" w:themeFill="background1"/>
        </w:rPr>
      </w:pPr>
      <w:r>
        <w:rPr>
          <w:rFonts w:hint="eastAsia"/>
          <w:color w:val="333333"/>
          <w:shd w:val="clear" w:color="auto" w:fill="FFFFFF" w:themeFill="background1"/>
        </w:rPr>
        <w:t>二、“三公”经费:纳入中央财政预算管理的“三公”经费，是指中央部门用财政拨款安排的因公出国(境)费、公务用车购置及运行费和公务接待费。其中因公出国(境)费反映单位公务出国(境)的国际旅费、国外城市间交通费、住宿费、伙食费、培训费等支出;公务用车购置及运行费反映单位公务用车车辆购置支出(含车辆购置税)及燃料费、维修费、过路过桥费、保险费等支出;公务接待费反映单位按规定开支的各类接待支出。</w:t>
      </w:r>
    </w:p>
    <w:p w:rsidR="0057447D" w:rsidRDefault="007A4AFA">
      <w:pPr>
        <w:pStyle w:val="a7"/>
        <w:shd w:val="clear" w:color="auto" w:fill="FFFFFF"/>
        <w:spacing w:before="0" w:beforeAutospacing="0" w:after="0" w:afterAutospacing="0" w:line="480" w:lineRule="auto"/>
        <w:ind w:firstLine="480"/>
        <w:textAlignment w:val="center"/>
        <w:rPr>
          <w:color w:val="333333"/>
          <w:shd w:val="clear" w:color="auto" w:fill="FFFFFF" w:themeFill="background1"/>
        </w:rPr>
      </w:pPr>
      <w:r>
        <w:rPr>
          <w:rFonts w:hint="eastAsia"/>
          <w:color w:val="333333"/>
          <w:shd w:val="clear" w:color="auto" w:fill="FFFFFF" w:themeFill="background1"/>
        </w:rPr>
        <w:t>三、“机关运行经费”是指为保障行政单位和参照公务员法管理的事业单位运行用于购买货物或服务的各项资金，包括办公及印刷费、邮电费、差旅费、会议费、日常维修费等。</w:t>
      </w:r>
    </w:p>
    <w:p w:rsidR="0057447D" w:rsidRDefault="007A4AFA">
      <w:pPr>
        <w:pStyle w:val="a7"/>
        <w:shd w:val="clear" w:color="auto" w:fill="FFFFFF"/>
        <w:spacing w:before="0" w:beforeAutospacing="0" w:after="0" w:afterAutospacing="0" w:line="480" w:lineRule="auto"/>
        <w:ind w:firstLine="480"/>
        <w:textAlignment w:val="center"/>
        <w:rPr>
          <w:color w:val="333333"/>
          <w:shd w:val="clear" w:color="auto" w:fill="FFFFFF" w:themeFill="background1"/>
        </w:rPr>
      </w:pPr>
      <w:r>
        <w:rPr>
          <w:rFonts w:hint="eastAsia"/>
          <w:color w:val="333333"/>
          <w:shd w:val="clear" w:color="auto" w:fill="FFFFFF" w:themeFill="background1"/>
        </w:rPr>
        <w:t>四、“国有资产占用情况”是指单位用各类资金购置的车辆、设备等固定资产数量情况。</w:t>
      </w: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57447D">
      <w:pPr>
        <w:pStyle w:val="Default"/>
        <w:jc w:val="center"/>
        <w:rPr>
          <w:sz w:val="72"/>
          <w:szCs w:val="72"/>
          <w:shd w:val="clear" w:color="auto" w:fill="FFFFFF" w:themeFill="background1"/>
        </w:rPr>
      </w:pPr>
    </w:p>
    <w:p w:rsidR="0057447D" w:rsidRDefault="007A4AFA">
      <w:pPr>
        <w:pStyle w:val="Default"/>
        <w:jc w:val="center"/>
        <w:rPr>
          <w:sz w:val="72"/>
          <w:szCs w:val="72"/>
          <w:shd w:val="clear" w:color="auto" w:fill="FFFFFF" w:themeFill="background1"/>
        </w:rPr>
      </w:pPr>
      <w:r>
        <w:rPr>
          <w:rFonts w:hint="eastAsia"/>
          <w:sz w:val="72"/>
          <w:szCs w:val="72"/>
          <w:shd w:val="clear" w:color="auto" w:fill="FFFFFF" w:themeFill="background1"/>
        </w:rPr>
        <w:t>第五部分</w:t>
      </w:r>
    </w:p>
    <w:p w:rsidR="0057447D" w:rsidRDefault="0057447D">
      <w:pPr>
        <w:jc w:val="center"/>
        <w:rPr>
          <w:rFonts w:ascii="黑体" w:eastAsia="黑体" w:cs="黑体"/>
          <w:color w:val="000000"/>
          <w:kern w:val="0"/>
          <w:sz w:val="70"/>
          <w:szCs w:val="70"/>
          <w:shd w:val="clear" w:color="auto" w:fill="FFFFFF" w:themeFill="background1"/>
        </w:rPr>
      </w:pPr>
    </w:p>
    <w:p w:rsidR="0057447D" w:rsidRDefault="007A4AFA">
      <w:pPr>
        <w:jc w:val="center"/>
        <w:rPr>
          <w:rFonts w:ascii="黑体" w:eastAsia="黑体" w:cs="黑体"/>
          <w:color w:val="000000"/>
          <w:kern w:val="0"/>
          <w:sz w:val="70"/>
          <w:szCs w:val="70"/>
          <w:shd w:val="clear" w:color="auto" w:fill="FFFFFF" w:themeFill="background1"/>
        </w:rPr>
      </w:pPr>
      <w:r>
        <w:rPr>
          <w:rFonts w:ascii="黑体" w:eastAsia="黑体" w:cs="黑体" w:hint="eastAsia"/>
          <w:color w:val="000000"/>
          <w:kern w:val="0"/>
          <w:sz w:val="70"/>
          <w:szCs w:val="70"/>
          <w:shd w:val="clear" w:color="auto" w:fill="FFFFFF" w:themeFill="background1"/>
        </w:rPr>
        <w:t>附件</w:t>
      </w:r>
    </w:p>
    <w:p w:rsidR="0057447D" w:rsidRDefault="007A4AFA">
      <w:pPr>
        <w:widowControl/>
        <w:jc w:val="left"/>
        <w:rPr>
          <w:rFonts w:ascii="黑体" w:eastAsia="黑体" w:cs="黑体"/>
          <w:color w:val="000000"/>
          <w:kern w:val="0"/>
          <w:sz w:val="70"/>
          <w:szCs w:val="70"/>
          <w:shd w:val="clear" w:color="auto" w:fill="FFFFFF" w:themeFill="background1"/>
        </w:rPr>
      </w:pPr>
      <w:r>
        <w:rPr>
          <w:rFonts w:ascii="黑体" w:eastAsia="黑体" w:cs="黑体"/>
          <w:color w:val="000000"/>
          <w:kern w:val="0"/>
          <w:sz w:val="70"/>
          <w:szCs w:val="70"/>
          <w:shd w:val="clear" w:color="auto" w:fill="FFFFFF" w:themeFill="background1"/>
        </w:rPr>
        <w:br w:type="page"/>
      </w:r>
    </w:p>
    <w:p w:rsidR="0057447D" w:rsidRDefault="0057447D">
      <w:pPr>
        <w:spacing w:line="600" w:lineRule="exact"/>
        <w:rPr>
          <w:rFonts w:eastAsia="黑体"/>
          <w:kern w:val="0"/>
          <w:sz w:val="32"/>
          <w:szCs w:val="32"/>
        </w:rPr>
      </w:pPr>
    </w:p>
    <w:p w:rsidR="0057447D" w:rsidRDefault="0057447D">
      <w:pPr>
        <w:spacing w:line="600" w:lineRule="exact"/>
        <w:rPr>
          <w:rFonts w:eastAsia="黑体"/>
          <w:kern w:val="0"/>
          <w:sz w:val="32"/>
          <w:szCs w:val="32"/>
        </w:rPr>
      </w:pPr>
    </w:p>
    <w:p w:rsidR="0057447D" w:rsidRDefault="007A4AFA">
      <w:pPr>
        <w:jc w:val="center"/>
        <w:rPr>
          <w:rFonts w:ascii="方正小标宋_GBK" w:eastAsia="方正小标宋_GBK"/>
          <w:sz w:val="36"/>
          <w:szCs w:val="36"/>
        </w:rPr>
      </w:pPr>
      <w:r>
        <w:rPr>
          <w:rFonts w:ascii="方正小标宋_GBK" w:eastAsia="方正小标宋_GBK" w:hint="eastAsia"/>
          <w:sz w:val="36"/>
          <w:szCs w:val="36"/>
        </w:rPr>
        <w:t>湘西土家族苗族自治州医疗保障局</w:t>
      </w:r>
    </w:p>
    <w:p w:rsidR="0057447D" w:rsidRDefault="007A4AFA">
      <w:pPr>
        <w:jc w:val="center"/>
        <w:rPr>
          <w:rFonts w:ascii="方正小标宋_GBK" w:eastAsia="方正小标宋_GBK"/>
          <w:sz w:val="36"/>
          <w:szCs w:val="36"/>
        </w:rPr>
      </w:pPr>
      <w:r>
        <w:rPr>
          <w:rFonts w:ascii="方正小标宋_GBK" w:eastAsia="方正小标宋_GBK" w:hint="eastAsia"/>
          <w:sz w:val="36"/>
          <w:szCs w:val="36"/>
        </w:rPr>
        <w:t>2020年度部门整体支出绩效自评报告</w:t>
      </w:r>
    </w:p>
    <w:p w:rsidR="0057447D" w:rsidRDefault="0057447D">
      <w:pPr>
        <w:jc w:val="center"/>
        <w:rPr>
          <w:rFonts w:ascii="方正小标宋_GBK" w:eastAsia="方正小标宋_GBK"/>
          <w:b/>
          <w:sz w:val="52"/>
          <w:szCs w:val="52"/>
        </w:rPr>
      </w:pPr>
    </w:p>
    <w:p w:rsidR="0057447D" w:rsidRDefault="0057447D">
      <w:pPr>
        <w:jc w:val="center"/>
        <w:rPr>
          <w:rFonts w:eastAsia="楷体_GB2312"/>
          <w:b/>
          <w:color w:val="FFFFFF"/>
          <w:sz w:val="32"/>
          <w:szCs w:val="32"/>
        </w:rPr>
      </w:pPr>
    </w:p>
    <w:p w:rsidR="0057447D" w:rsidRDefault="0057447D">
      <w:pPr>
        <w:jc w:val="center"/>
        <w:rPr>
          <w:rFonts w:eastAsia="楷体_GB2312"/>
          <w:b/>
          <w:sz w:val="32"/>
          <w:szCs w:val="32"/>
        </w:rPr>
      </w:pPr>
    </w:p>
    <w:p w:rsidR="0057447D" w:rsidRDefault="0057447D">
      <w:pPr>
        <w:jc w:val="center"/>
        <w:rPr>
          <w:rFonts w:eastAsia="楷体_GB2312"/>
          <w:b/>
          <w:sz w:val="32"/>
          <w:szCs w:val="32"/>
        </w:rPr>
      </w:pPr>
    </w:p>
    <w:p w:rsidR="0057447D" w:rsidRDefault="0057447D">
      <w:pPr>
        <w:jc w:val="center"/>
        <w:rPr>
          <w:rFonts w:eastAsia="楷体_GB2312"/>
          <w:b/>
          <w:sz w:val="32"/>
          <w:szCs w:val="32"/>
        </w:rPr>
      </w:pPr>
    </w:p>
    <w:p w:rsidR="0057447D" w:rsidRDefault="0057447D">
      <w:pPr>
        <w:rPr>
          <w:rFonts w:eastAsia="楷体_GB2312"/>
          <w:b/>
          <w:sz w:val="32"/>
          <w:szCs w:val="32"/>
        </w:rPr>
      </w:pPr>
    </w:p>
    <w:p w:rsidR="0057447D" w:rsidRDefault="007A4AFA">
      <w:pPr>
        <w:rPr>
          <w:rFonts w:eastAsia="楷体_GB2312"/>
          <w:b/>
          <w:sz w:val="32"/>
          <w:szCs w:val="32"/>
        </w:rPr>
      </w:pPr>
      <w:r>
        <w:rPr>
          <w:rFonts w:eastAsia="楷体_GB2312" w:hint="eastAsia"/>
          <w:b/>
          <w:sz w:val="32"/>
          <w:szCs w:val="32"/>
        </w:rPr>
        <w:t>部门（单位）名称（盖章）：</w:t>
      </w:r>
    </w:p>
    <w:p w:rsidR="0057447D" w:rsidRDefault="007A4AFA">
      <w:pPr>
        <w:rPr>
          <w:rFonts w:eastAsia="楷体_GB2312"/>
          <w:b/>
          <w:sz w:val="32"/>
          <w:szCs w:val="32"/>
          <w:u w:val="single"/>
        </w:rPr>
      </w:pPr>
      <w:r>
        <w:rPr>
          <w:rFonts w:eastAsia="楷体_GB2312" w:hint="eastAsia"/>
          <w:b/>
          <w:sz w:val="32"/>
          <w:szCs w:val="32"/>
        </w:rPr>
        <w:t>预算编码：</w:t>
      </w:r>
      <w:r>
        <w:rPr>
          <w:rFonts w:eastAsia="楷体_GB2312" w:hint="eastAsia"/>
          <w:bCs/>
          <w:sz w:val="32"/>
          <w:szCs w:val="32"/>
          <w:u w:val="single"/>
        </w:rPr>
        <w:t xml:space="preserve">      506      </w:t>
      </w:r>
    </w:p>
    <w:p w:rsidR="0057447D" w:rsidRDefault="007A4AFA">
      <w:pPr>
        <w:rPr>
          <w:rFonts w:eastAsia="楷体_GB2312"/>
          <w:b/>
          <w:sz w:val="32"/>
          <w:szCs w:val="32"/>
        </w:rPr>
      </w:pPr>
      <w:r>
        <w:rPr>
          <w:rFonts w:eastAsia="楷体_GB2312" w:hint="eastAsia"/>
          <w:b/>
          <w:sz w:val="32"/>
          <w:szCs w:val="32"/>
        </w:rPr>
        <w:t>评价方式：部门（单位）绩效自评</w:t>
      </w:r>
    </w:p>
    <w:p w:rsidR="0057447D" w:rsidRDefault="007A4AFA" w:rsidP="00D80294">
      <w:pPr>
        <w:spacing w:line="600" w:lineRule="exact"/>
        <w:ind w:firstLineChars="462" w:firstLine="1478"/>
        <w:jc w:val="left"/>
        <w:rPr>
          <w:rFonts w:eastAsia="楷体_GB2312"/>
          <w:b/>
          <w:sz w:val="32"/>
          <w:szCs w:val="32"/>
        </w:rPr>
      </w:pPr>
      <w:r>
        <w:rPr>
          <w:rFonts w:eastAsia="楷体_GB2312" w:hint="eastAsia"/>
          <w:b/>
          <w:sz w:val="32"/>
          <w:szCs w:val="32"/>
        </w:rPr>
        <w:t>评价机构：部门（单位）评价组</w:t>
      </w:r>
    </w:p>
    <w:p w:rsidR="0057447D" w:rsidRDefault="0057447D">
      <w:pPr>
        <w:rPr>
          <w:rFonts w:eastAsia="楷体_GB2312"/>
          <w:b/>
          <w:sz w:val="32"/>
          <w:szCs w:val="32"/>
        </w:rPr>
      </w:pPr>
    </w:p>
    <w:p w:rsidR="0057447D" w:rsidRDefault="0057447D">
      <w:pPr>
        <w:jc w:val="center"/>
        <w:rPr>
          <w:rFonts w:eastAsia="楷体_GB2312"/>
          <w:b/>
          <w:sz w:val="32"/>
          <w:szCs w:val="32"/>
        </w:rPr>
      </w:pPr>
    </w:p>
    <w:p w:rsidR="0057447D" w:rsidRDefault="0057447D">
      <w:pPr>
        <w:pStyle w:val="a5"/>
      </w:pPr>
    </w:p>
    <w:p w:rsidR="0057447D" w:rsidRDefault="0057447D">
      <w:pPr>
        <w:rPr>
          <w:rFonts w:eastAsia="楷体_GB2312"/>
          <w:b/>
          <w:sz w:val="32"/>
          <w:szCs w:val="32"/>
        </w:rPr>
      </w:pPr>
    </w:p>
    <w:p w:rsidR="0057447D" w:rsidRDefault="007A4AFA">
      <w:pPr>
        <w:rPr>
          <w:rFonts w:eastAsia="楷体_GB2312"/>
          <w:b/>
          <w:sz w:val="32"/>
          <w:szCs w:val="32"/>
        </w:rPr>
      </w:pPr>
      <w:r>
        <w:rPr>
          <w:rFonts w:eastAsia="楷体_GB2312" w:hint="eastAsia"/>
          <w:b/>
          <w:sz w:val="32"/>
          <w:szCs w:val="32"/>
        </w:rPr>
        <w:t>报告时间：</w:t>
      </w:r>
      <w:r>
        <w:rPr>
          <w:rFonts w:eastAsia="楷体_GB2312" w:hint="eastAsia"/>
          <w:b/>
          <w:sz w:val="32"/>
          <w:szCs w:val="32"/>
          <w:u w:val="single"/>
        </w:rPr>
        <w:t>2021</w:t>
      </w:r>
      <w:r>
        <w:rPr>
          <w:rFonts w:eastAsia="楷体_GB2312" w:hint="eastAsia"/>
          <w:b/>
          <w:sz w:val="32"/>
          <w:szCs w:val="32"/>
        </w:rPr>
        <w:t>年</w:t>
      </w:r>
      <w:r>
        <w:rPr>
          <w:rFonts w:eastAsia="楷体_GB2312" w:hint="eastAsia"/>
          <w:b/>
          <w:sz w:val="32"/>
          <w:szCs w:val="32"/>
          <w:u w:val="single"/>
        </w:rPr>
        <w:t>6</w:t>
      </w:r>
      <w:r>
        <w:rPr>
          <w:rFonts w:eastAsia="楷体_GB2312" w:hint="eastAsia"/>
          <w:b/>
          <w:sz w:val="32"/>
          <w:szCs w:val="32"/>
        </w:rPr>
        <w:t>月</w:t>
      </w:r>
    </w:p>
    <w:p w:rsidR="0057447D" w:rsidRDefault="0057447D">
      <w:pPr>
        <w:pStyle w:val="a5"/>
      </w:pPr>
    </w:p>
    <w:p w:rsidR="0057447D" w:rsidRDefault="0057447D">
      <w:pPr>
        <w:jc w:val="center"/>
        <w:rPr>
          <w:rFonts w:eastAsia="楷体_GB2312"/>
          <w:b/>
          <w:sz w:val="32"/>
          <w:szCs w:val="32"/>
        </w:rPr>
      </w:pPr>
    </w:p>
    <w:p w:rsidR="0057447D" w:rsidRDefault="0057447D">
      <w:pPr>
        <w:jc w:val="center"/>
        <w:rPr>
          <w:rFonts w:eastAsia="楷体_GB2312"/>
          <w:b/>
          <w:sz w:val="32"/>
          <w:szCs w:val="32"/>
        </w:rPr>
      </w:pPr>
    </w:p>
    <w:p w:rsidR="0057447D" w:rsidRDefault="0057447D">
      <w:pPr>
        <w:autoSpaceDN w:val="0"/>
        <w:spacing w:line="320" w:lineRule="exact"/>
        <w:jc w:val="center"/>
        <w:textAlignment w:val="center"/>
        <w:rPr>
          <w:rFonts w:eastAsia="黑体" w:cs="黑体"/>
          <w:sz w:val="28"/>
          <w:szCs w:val="28"/>
        </w:rPr>
        <w:sectPr w:rsidR="0057447D">
          <w:footerReference w:type="default" r:id="rId8"/>
          <w:pgSz w:w="11906" w:h="16838"/>
          <w:pgMar w:top="1440" w:right="1803" w:bottom="1440" w:left="1803" w:header="851" w:footer="992" w:gutter="0"/>
          <w:pgNumType w:start="1"/>
          <w:cols w:space="720"/>
          <w:docGrid w:type="lines" w:linePitch="325"/>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578"/>
        <w:gridCol w:w="120"/>
        <w:gridCol w:w="1080"/>
        <w:gridCol w:w="270"/>
        <w:gridCol w:w="930"/>
        <w:gridCol w:w="1308"/>
        <w:gridCol w:w="1232"/>
        <w:gridCol w:w="1015"/>
        <w:gridCol w:w="405"/>
        <w:gridCol w:w="782"/>
        <w:gridCol w:w="139"/>
        <w:gridCol w:w="79"/>
        <w:gridCol w:w="862"/>
      </w:tblGrid>
      <w:tr w:rsidR="0057447D">
        <w:trPr>
          <w:trHeight w:val="422"/>
          <w:jc w:val="center"/>
        </w:trPr>
        <w:tc>
          <w:tcPr>
            <w:tcW w:w="9800" w:type="dxa"/>
            <w:gridSpan w:val="13"/>
            <w:vAlign w:val="center"/>
          </w:tcPr>
          <w:p w:rsidR="0057447D" w:rsidRDefault="007A4AFA">
            <w:pPr>
              <w:autoSpaceDN w:val="0"/>
              <w:spacing w:line="320" w:lineRule="exact"/>
              <w:jc w:val="center"/>
              <w:textAlignment w:val="center"/>
              <w:rPr>
                <w:rFonts w:ascii="Times New Roman" w:eastAsia="仿宋_GB2312" w:hAnsi="Times New Roman" w:cs="Times New Roman"/>
                <w:sz w:val="24"/>
              </w:rPr>
            </w:pPr>
            <w:r>
              <w:rPr>
                <w:rFonts w:ascii="Times New Roman" w:eastAsia="黑体" w:hAnsi="Times New Roman" w:cs="Times New Roman"/>
                <w:sz w:val="28"/>
                <w:szCs w:val="28"/>
              </w:rPr>
              <w:lastRenderedPageBreak/>
              <w:t>一、部门（单位）基本概况</w:t>
            </w:r>
          </w:p>
        </w:tc>
      </w:tr>
      <w:tr w:rsidR="0057447D" w:rsidTr="00D80294">
        <w:trPr>
          <w:trHeight w:val="437"/>
          <w:jc w:val="center"/>
        </w:trPr>
        <w:tc>
          <w:tcPr>
            <w:tcW w:w="1578" w:type="dxa"/>
            <w:vAlign w:val="center"/>
          </w:tcPr>
          <w:p w:rsidR="0057447D" w:rsidRDefault="007A4AFA">
            <w:pPr>
              <w:autoSpaceDN w:val="0"/>
              <w:spacing w:line="320" w:lineRule="exact"/>
              <w:jc w:val="center"/>
              <w:textAlignment w:val="center"/>
              <w:rPr>
                <w:rFonts w:ascii="Times New Roman" w:eastAsia="仿宋_GB2312" w:hAnsi="Times New Roman" w:cs="Times New Roman"/>
                <w:sz w:val="24"/>
                <w:highlight w:val="yellow"/>
              </w:rPr>
            </w:pPr>
            <w:r>
              <w:rPr>
                <w:rFonts w:ascii="Times New Roman" w:eastAsia="仿宋_GB2312" w:hAnsi="Times New Roman" w:cs="Times New Roman"/>
                <w:sz w:val="24"/>
              </w:rPr>
              <w:t>联系人</w:t>
            </w:r>
          </w:p>
        </w:tc>
        <w:tc>
          <w:tcPr>
            <w:tcW w:w="3708" w:type="dxa"/>
            <w:gridSpan w:val="5"/>
            <w:vAlign w:val="center"/>
          </w:tcPr>
          <w:p w:rsidR="0057447D" w:rsidRDefault="007A4AFA">
            <w:pPr>
              <w:autoSpaceDN w:val="0"/>
              <w:spacing w:line="320" w:lineRule="exact"/>
              <w:jc w:val="center"/>
              <w:textAlignment w:val="center"/>
              <w:rPr>
                <w:rFonts w:ascii="Times New Roman" w:eastAsia="仿宋_GB2312" w:hAnsi="Times New Roman" w:cs="Times New Roman"/>
                <w:sz w:val="24"/>
                <w:highlight w:val="yellow"/>
              </w:rPr>
            </w:pPr>
            <w:r>
              <w:rPr>
                <w:rFonts w:ascii="Times New Roman" w:eastAsia="仿宋_GB2312" w:hAnsi="Times New Roman" w:cs="Times New Roman"/>
                <w:sz w:val="24"/>
              </w:rPr>
              <w:t>彭亚玲</w:t>
            </w:r>
          </w:p>
        </w:tc>
        <w:tc>
          <w:tcPr>
            <w:tcW w:w="2247" w:type="dxa"/>
            <w:gridSpan w:val="2"/>
            <w:vAlign w:val="center"/>
          </w:tcPr>
          <w:p w:rsidR="0057447D" w:rsidRDefault="007A4AFA">
            <w:pPr>
              <w:autoSpaceDN w:val="0"/>
              <w:spacing w:line="320" w:lineRule="exact"/>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联系电话</w:t>
            </w:r>
          </w:p>
        </w:tc>
        <w:tc>
          <w:tcPr>
            <w:tcW w:w="2267" w:type="dxa"/>
            <w:gridSpan w:val="5"/>
            <w:vAlign w:val="center"/>
          </w:tcPr>
          <w:p w:rsidR="0057447D" w:rsidRDefault="007A4AFA">
            <w:pPr>
              <w:autoSpaceDN w:val="0"/>
              <w:spacing w:line="320" w:lineRule="exact"/>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15200750926</w:t>
            </w:r>
          </w:p>
        </w:tc>
      </w:tr>
      <w:tr w:rsidR="0057447D" w:rsidTr="00D80294">
        <w:trPr>
          <w:trHeight w:val="407"/>
          <w:jc w:val="center"/>
        </w:trPr>
        <w:tc>
          <w:tcPr>
            <w:tcW w:w="1578" w:type="dxa"/>
            <w:vAlign w:val="center"/>
          </w:tcPr>
          <w:p w:rsidR="0057447D" w:rsidRDefault="007A4AFA">
            <w:pPr>
              <w:autoSpaceDN w:val="0"/>
              <w:spacing w:line="320" w:lineRule="exact"/>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人员编制</w:t>
            </w:r>
          </w:p>
        </w:tc>
        <w:tc>
          <w:tcPr>
            <w:tcW w:w="3708" w:type="dxa"/>
            <w:gridSpan w:val="5"/>
            <w:vAlign w:val="center"/>
          </w:tcPr>
          <w:p w:rsidR="0057447D" w:rsidRDefault="007A4AFA">
            <w:pPr>
              <w:autoSpaceDN w:val="0"/>
              <w:spacing w:line="320" w:lineRule="exact"/>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62</w:t>
            </w:r>
          </w:p>
        </w:tc>
        <w:tc>
          <w:tcPr>
            <w:tcW w:w="2247" w:type="dxa"/>
            <w:gridSpan w:val="2"/>
            <w:vAlign w:val="center"/>
          </w:tcPr>
          <w:p w:rsidR="0057447D" w:rsidRDefault="007A4AFA">
            <w:pPr>
              <w:autoSpaceDN w:val="0"/>
              <w:spacing w:line="320" w:lineRule="exact"/>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实有人数</w:t>
            </w:r>
          </w:p>
        </w:tc>
        <w:tc>
          <w:tcPr>
            <w:tcW w:w="2267" w:type="dxa"/>
            <w:gridSpan w:val="5"/>
            <w:vAlign w:val="center"/>
          </w:tcPr>
          <w:p w:rsidR="0057447D" w:rsidRDefault="007A4AFA">
            <w:pPr>
              <w:autoSpaceDN w:val="0"/>
              <w:spacing w:line="320" w:lineRule="exact"/>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44</w:t>
            </w:r>
          </w:p>
        </w:tc>
      </w:tr>
      <w:tr w:rsidR="0057447D">
        <w:trPr>
          <w:trHeight w:val="12115"/>
          <w:jc w:val="center"/>
        </w:trPr>
        <w:tc>
          <w:tcPr>
            <w:tcW w:w="1578"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职能职责概述</w:t>
            </w:r>
          </w:p>
        </w:tc>
        <w:tc>
          <w:tcPr>
            <w:tcW w:w="8222" w:type="dxa"/>
            <w:gridSpan w:val="12"/>
            <w:vAlign w:val="center"/>
          </w:tcPr>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（一）组织起草有关地方性法规、单行条例和政府规章草案</w:t>
            </w:r>
          </w:p>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及有关政策规定，并组织实施。</w:t>
            </w:r>
          </w:p>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（二）贯彻落实上级医疗保障部门制定的医疗保障基金监督管理办法，监督管理相关医疗保障基金，建立健全医疗保障基金安全防控机制，推进医疗保障基金支付方式改革。</w:t>
            </w:r>
          </w:p>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（三）组织制定和实施全州医保障筹资和待遇政策，完善动态调整和区域调剂平衡机制，统筹城乡医疗保障待遇标准，建立健全与筹资水平相适应的待遇调整机制，组织拟订并实施长期护理保险制度改革方案。</w:t>
            </w:r>
          </w:p>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（四）组织制定和实施全州城乡统一的药品、医用耗材、医疗服务项目、医疗服务设施等医保目录和支付标准，建立动态调整机制，制定医保目录准入谈判规则并组织实施。</w:t>
            </w:r>
          </w:p>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五）组织制定全州药品、医用耗材价格和医疗服务项目、医疗服务设施收费等政策，建立医保支付医药服务价格合理确定和动态调整机制，推动建立市场主导的社会医药服务价格形成机制，建立价格信息监测和信息发布制度。</w:t>
            </w:r>
          </w:p>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（六）制定全州药品、医用耗材的招标采购政策并监督实施，负责药品、医用耗材招标采购平台建设。</w:t>
            </w:r>
          </w:p>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（七）制定全州定点医药机构协议和支付管理办法并组织实施，建立健全医疗保障信用评价体系和信息披露制度，监督管理纳入医保范围内的医疗服务行为和医疗费用，依法查处医疗保障领域违法违规行为。</w:t>
            </w:r>
          </w:p>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八）负责全州医疗保障经办管理、公共服务体系和信息化建设。指导和监督全州医疗保险、生育保险、医疗救助等医疗保障经办业务工作。组织制定和完善异地就医管理和费用结算政策。建立健全医保障关系转移接续制度。开展医疗保障领域对外合作交流。</w:t>
            </w:r>
          </w:p>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（九）完成州委、州政府交办的其他任务。</w:t>
            </w:r>
          </w:p>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十）职能转变。州医保局应完善统一的城乡居民基本医疗保险制度和大病保险制度，巩固完善城乡居民医疗救助制度，建立健全覆盖全民、城乡统筹的多层次医疗保障体系，不断提高医疗保障水平，确保医保资金合理使用、安全可控，推进医疗、医保、医药</w:t>
            </w:r>
            <w:r>
              <w:rPr>
                <w:rFonts w:eastAsia="仿宋_GB2312" w:cs="仿宋_GB2312" w:hint="eastAsia"/>
                <w:sz w:val="24"/>
              </w:rPr>
              <w:t>"</w:t>
            </w:r>
            <w:r>
              <w:rPr>
                <w:rFonts w:eastAsia="仿宋_GB2312" w:cs="仿宋_GB2312" w:hint="eastAsia"/>
                <w:sz w:val="24"/>
              </w:rPr>
              <w:t>三医联动</w:t>
            </w:r>
            <w:r>
              <w:rPr>
                <w:rFonts w:eastAsia="仿宋_GB2312" w:cs="仿宋_GB2312" w:hint="eastAsia"/>
                <w:sz w:val="24"/>
              </w:rPr>
              <w:t>"</w:t>
            </w:r>
            <w:r>
              <w:rPr>
                <w:rFonts w:eastAsia="仿宋_GB2312" w:cs="仿宋_GB2312" w:hint="eastAsia"/>
                <w:sz w:val="24"/>
              </w:rPr>
              <w:t>改革，更好保障人民群众就医需求、减轻医药费用负担。</w:t>
            </w:r>
          </w:p>
          <w:p w:rsidR="0057447D" w:rsidRDefault="007A4AFA" w:rsidP="00D80294">
            <w:pPr>
              <w:autoSpaceDN w:val="0"/>
              <w:spacing w:line="360" w:lineRule="exact"/>
              <w:ind w:firstLineChars="100" w:firstLine="240"/>
              <w:jc w:val="left"/>
              <w:textAlignment w:val="center"/>
              <w:rPr>
                <w:rFonts w:eastAsia="仿宋_GB2312" w:cs="仿宋_GB2312"/>
                <w:sz w:val="24"/>
              </w:rPr>
            </w:pPr>
            <w:r>
              <w:rPr>
                <w:rFonts w:eastAsia="仿宋_GB2312" w:cs="仿宋_GB2312" w:hint="eastAsia"/>
                <w:sz w:val="24"/>
              </w:rPr>
              <w:t>（十一）与州卫生健康委的有关职责分工。州卫生健康委、州医保局等部门在医疗、医保、医药等方面加强制度、政策衔接，建立沟通协商机制，协同推进改革，提高医疗资源使用效率和医疗保障水平。</w:t>
            </w:r>
          </w:p>
        </w:tc>
      </w:tr>
      <w:tr w:rsidR="0057447D">
        <w:trPr>
          <w:trHeight w:val="3935"/>
          <w:jc w:val="center"/>
        </w:trPr>
        <w:tc>
          <w:tcPr>
            <w:tcW w:w="1578"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lastRenderedPageBreak/>
              <w:t>年度主要</w:t>
            </w:r>
          </w:p>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工作内容</w:t>
            </w:r>
          </w:p>
        </w:tc>
        <w:tc>
          <w:tcPr>
            <w:tcW w:w="8222" w:type="dxa"/>
            <w:gridSpan w:val="12"/>
            <w:vAlign w:val="center"/>
          </w:tcPr>
          <w:p w:rsidR="0057447D" w:rsidRDefault="007A4AFA">
            <w:pPr>
              <w:autoSpaceDN w:val="0"/>
              <w:spacing w:line="360" w:lineRule="exact"/>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1</w:t>
            </w:r>
            <w:r>
              <w:rPr>
                <w:rFonts w:eastAsia="仿宋_GB2312" w:cs="仿宋_GB2312" w:hint="eastAsia"/>
                <w:sz w:val="24"/>
              </w:rPr>
              <w:t>：集中力量做好医疗保障扶贫工作，建立兜底线的救助制度</w:t>
            </w:r>
          </w:p>
          <w:p w:rsidR="0057447D" w:rsidRDefault="007A4AFA">
            <w:pPr>
              <w:autoSpaceDN w:val="0"/>
              <w:spacing w:line="360" w:lineRule="exact"/>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2</w:t>
            </w:r>
            <w:r>
              <w:rPr>
                <w:rFonts w:eastAsia="仿宋_GB2312" w:cs="仿宋_GB2312" w:hint="eastAsia"/>
                <w:sz w:val="24"/>
              </w:rPr>
              <w:t>：降低群众负担，做好药品医用耗材采购和医疗服务价格管理工作</w:t>
            </w:r>
          </w:p>
          <w:p w:rsidR="0057447D" w:rsidRDefault="007A4AFA">
            <w:pPr>
              <w:autoSpaceDN w:val="0"/>
              <w:spacing w:line="360" w:lineRule="exact"/>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3</w:t>
            </w:r>
            <w:r>
              <w:rPr>
                <w:rFonts w:eastAsia="仿宋_GB2312" w:cs="仿宋_GB2312" w:hint="eastAsia"/>
                <w:sz w:val="24"/>
              </w:rPr>
              <w:t>：做好药品目录调整工作、开展诊疗项目调整、优化异地就医备案及报销流程，提升医保服务质量，实施目录动态调整机制</w:t>
            </w:r>
          </w:p>
          <w:p w:rsidR="0057447D" w:rsidRDefault="007A4AFA">
            <w:pPr>
              <w:autoSpaceDN w:val="0"/>
              <w:spacing w:line="360" w:lineRule="exact"/>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4</w:t>
            </w:r>
            <w:r>
              <w:rPr>
                <w:rFonts w:eastAsia="仿宋_GB2312" w:cs="仿宋_GB2312" w:hint="eastAsia"/>
                <w:sz w:val="24"/>
              </w:rPr>
              <w:t>：深为群众守护基金安全，大力加强医保基金监管，建立健全各项规章制度，建立智能监审平台、信用评价体系、奖励举报等信息化监管平台</w:t>
            </w:r>
          </w:p>
          <w:p w:rsidR="0057447D" w:rsidRDefault="007A4AFA">
            <w:pPr>
              <w:autoSpaceDN w:val="0"/>
              <w:spacing w:line="360" w:lineRule="exact"/>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5</w:t>
            </w:r>
            <w:r>
              <w:rPr>
                <w:rFonts w:eastAsia="仿宋_GB2312" w:cs="仿宋_GB2312" w:hint="eastAsia"/>
                <w:sz w:val="24"/>
              </w:rPr>
              <w:t>：夯实基础，大力做好医保待遇保障工作，推进基本医疗保险和生育保险州级统筹</w:t>
            </w:r>
          </w:p>
          <w:p w:rsidR="0057447D" w:rsidRDefault="007A4AFA">
            <w:pPr>
              <w:autoSpaceDN w:val="0"/>
              <w:spacing w:line="360" w:lineRule="exact"/>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6</w:t>
            </w:r>
            <w:r>
              <w:rPr>
                <w:rFonts w:eastAsia="仿宋_GB2312" w:cs="仿宋_GB2312" w:hint="eastAsia"/>
                <w:sz w:val="24"/>
              </w:rPr>
              <w:t>：大力加强舆论宣传工作，树立医保新形象</w:t>
            </w:r>
          </w:p>
          <w:p w:rsidR="0057447D" w:rsidRDefault="007A4AFA">
            <w:pPr>
              <w:autoSpaceDN w:val="0"/>
              <w:spacing w:line="360" w:lineRule="exact"/>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7</w:t>
            </w:r>
            <w:r>
              <w:rPr>
                <w:rFonts w:eastAsia="仿宋_GB2312" w:cs="仿宋_GB2312" w:hint="eastAsia"/>
                <w:sz w:val="24"/>
              </w:rPr>
              <w:t>：提高政治站位，全面加强队伍建设</w:t>
            </w:r>
          </w:p>
        </w:tc>
      </w:tr>
      <w:tr w:rsidR="0057447D">
        <w:trPr>
          <w:trHeight w:val="4520"/>
          <w:jc w:val="center"/>
        </w:trPr>
        <w:tc>
          <w:tcPr>
            <w:tcW w:w="1578"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pacing w:val="-11"/>
                <w:sz w:val="24"/>
              </w:rPr>
              <w:t>年度部门（单位）总体运行情况及取得的成绩</w:t>
            </w:r>
          </w:p>
        </w:tc>
        <w:tc>
          <w:tcPr>
            <w:tcW w:w="8222" w:type="dxa"/>
            <w:gridSpan w:val="12"/>
          </w:tcPr>
          <w:p w:rsidR="0057447D" w:rsidRDefault="007A4AFA">
            <w:pPr>
              <w:autoSpaceDN w:val="0"/>
              <w:spacing w:line="360" w:lineRule="exact"/>
              <w:jc w:val="left"/>
              <w:textAlignment w:val="center"/>
              <w:rPr>
                <w:rFonts w:eastAsia="仿宋_GB2312" w:cs="仿宋_GB2312"/>
                <w:sz w:val="24"/>
              </w:rPr>
            </w:pPr>
            <w:r>
              <w:rPr>
                <w:rFonts w:eastAsia="仿宋_GB2312" w:cs="仿宋_GB2312" w:hint="eastAsia"/>
                <w:sz w:val="24"/>
              </w:rPr>
              <w:t>2020</w:t>
            </w:r>
            <w:r>
              <w:rPr>
                <w:rFonts w:eastAsia="仿宋_GB2312" w:cs="仿宋_GB2312" w:hint="eastAsia"/>
                <w:sz w:val="24"/>
              </w:rPr>
              <w:t>年，我局以习近平新时代中国特色社会主义思想和党的十九大、十九届二中、三中、四中、五中全会精神为指引，真抓实干、担当作为，人民群众医疗保障水平明显提高，医疗保障工作在全省位列第一方阵，药品、耗材联盟采购、医保扶贫、打击欺诈骗保等工作走在全省前列。实现了州级统筹工作“六统一”。</w:t>
            </w:r>
          </w:p>
          <w:p w:rsidR="0057447D" w:rsidRDefault="007A4AFA">
            <w:pPr>
              <w:autoSpaceDN w:val="0"/>
              <w:spacing w:line="360" w:lineRule="exact"/>
              <w:jc w:val="left"/>
              <w:textAlignment w:val="center"/>
              <w:rPr>
                <w:rFonts w:eastAsia="仿宋_GB2312" w:cs="仿宋_GB2312"/>
                <w:sz w:val="24"/>
              </w:rPr>
            </w:pPr>
            <w:r>
              <w:rPr>
                <w:rFonts w:eastAsia="仿宋_GB2312" w:cs="仿宋_GB2312" w:hint="eastAsia"/>
                <w:sz w:val="24"/>
              </w:rPr>
              <w:t>医用耗材价格降幅大，高值耗材平均下降</w:t>
            </w:r>
            <w:r>
              <w:rPr>
                <w:rFonts w:eastAsia="仿宋_GB2312" w:cs="仿宋_GB2312" w:hint="eastAsia"/>
                <w:sz w:val="24"/>
              </w:rPr>
              <w:t>42%</w:t>
            </w:r>
            <w:r>
              <w:rPr>
                <w:rFonts w:eastAsia="仿宋_GB2312" w:cs="仿宋_GB2312" w:hint="eastAsia"/>
                <w:sz w:val="24"/>
              </w:rPr>
              <w:t>，低值耗材平均降幅</w:t>
            </w:r>
            <w:r>
              <w:rPr>
                <w:rFonts w:eastAsia="仿宋_GB2312" w:cs="仿宋_GB2312" w:hint="eastAsia"/>
                <w:sz w:val="24"/>
              </w:rPr>
              <w:t>52.4%</w:t>
            </w:r>
            <w:r>
              <w:rPr>
                <w:rFonts w:eastAsia="仿宋_GB2312" w:cs="仿宋_GB2312" w:hint="eastAsia"/>
                <w:sz w:val="24"/>
              </w:rPr>
              <w:t>。高值耗材方面，在全州统一推行骨科植入类集中配送带量采购改革，骨科植入类高值耗材平均下降</w:t>
            </w:r>
            <w:r>
              <w:rPr>
                <w:rFonts w:eastAsia="仿宋_GB2312" w:cs="仿宋_GB2312" w:hint="eastAsia"/>
                <w:sz w:val="24"/>
              </w:rPr>
              <w:t>42%</w:t>
            </w:r>
            <w:r>
              <w:rPr>
                <w:rFonts w:eastAsia="仿宋_GB2312" w:cs="仿宋_GB2312" w:hint="eastAsia"/>
                <w:sz w:val="24"/>
              </w:rPr>
              <w:t>。超额完成国家药品集中带量采购任务和湖南省抗菌药物专项集中采购工作，全省唯一实行药品款医保结算方式市州。国家集采药品两项采购工作均排名全省前列，并且我州是全省唯一实现国家集采药品款由医保垫付结算方式的市州。在全省率先规范医保协议民营医院医药采购和服务价格。全面取消公立医疗机构医用耗材加成，实行“零差率”销售。城乡居民参保率达</w:t>
            </w:r>
            <w:r>
              <w:rPr>
                <w:rFonts w:eastAsia="仿宋_GB2312" w:cs="仿宋_GB2312" w:hint="eastAsia"/>
                <w:sz w:val="24"/>
              </w:rPr>
              <w:t>97.13%</w:t>
            </w:r>
            <w:r>
              <w:rPr>
                <w:rFonts w:eastAsia="仿宋_GB2312" w:cs="仿宋_GB2312" w:hint="eastAsia"/>
                <w:sz w:val="24"/>
              </w:rPr>
              <w:t>，全省排名第二。</w:t>
            </w:r>
          </w:p>
        </w:tc>
      </w:tr>
      <w:tr w:rsidR="0057447D">
        <w:trPr>
          <w:trHeight w:val="467"/>
          <w:jc w:val="center"/>
        </w:trPr>
        <w:tc>
          <w:tcPr>
            <w:tcW w:w="9800" w:type="dxa"/>
            <w:gridSpan w:val="13"/>
            <w:vAlign w:val="center"/>
          </w:tcPr>
          <w:p w:rsidR="0057447D" w:rsidRDefault="007A4AFA">
            <w:pPr>
              <w:autoSpaceDN w:val="0"/>
              <w:spacing w:line="320" w:lineRule="exact"/>
              <w:jc w:val="center"/>
              <w:textAlignment w:val="center"/>
              <w:rPr>
                <w:rFonts w:eastAsia="仿宋_GB2312" w:cs="仿宋_GB2312"/>
                <w:sz w:val="24"/>
              </w:rPr>
            </w:pPr>
            <w:r>
              <w:rPr>
                <w:rFonts w:eastAsia="黑体" w:cs="黑体" w:hint="eastAsia"/>
                <w:sz w:val="28"/>
                <w:szCs w:val="28"/>
              </w:rPr>
              <w:t>二、部门（单位）收支情况</w:t>
            </w:r>
          </w:p>
        </w:tc>
      </w:tr>
      <w:tr w:rsidR="0057447D">
        <w:trPr>
          <w:trHeight w:val="622"/>
          <w:jc w:val="center"/>
        </w:trPr>
        <w:tc>
          <w:tcPr>
            <w:tcW w:w="9800" w:type="dxa"/>
            <w:gridSpan w:val="13"/>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b/>
                <w:bCs/>
                <w:sz w:val="24"/>
              </w:rPr>
              <w:t>年度收入情况（万元）</w:t>
            </w:r>
          </w:p>
        </w:tc>
      </w:tr>
      <w:tr w:rsidR="0057447D">
        <w:trPr>
          <w:trHeight w:val="562"/>
          <w:jc w:val="center"/>
        </w:trPr>
        <w:tc>
          <w:tcPr>
            <w:tcW w:w="1698" w:type="dxa"/>
            <w:gridSpan w:val="2"/>
            <w:vMerge w:val="restart"/>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机构名称</w:t>
            </w:r>
          </w:p>
        </w:tc>
        <w:tc>
          <w:tcPr>
            <w:tcW w:w="1080" w:type="dxa"/>
            <w:vMerge w:val="restart"/>
            <w:tcBorders>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收入合计</w:t>
            </w:r>
          </w:p>
        </w:tc>
        <w:tc>
          <w:tcPr>
            <w:tcW w:w="7022" w:type="dxa"/>
            <w:gridSpan w:val="10"/>
            <w:tcBorders>
              <w:lef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r>
      <w:tr w:rsidR="0057447D" w:rsidTr="00D80294">
        <w:trPr>
          <w:trHeight w:val="804"/>
          <w:jc w:val="center"/>
        </w:trPr>
        <w:tc>
          <w:tcPr>
            <w:tcW w:w="1698" w:type="dxa"/>
            <w:gridSpan w:val="2"/>
            <w:vMerge/>
            <w:vAlign w:val="center"/>
          </w:tcPr>
          <w:p w:rsidR="0057447D" w:rsidRDefault="0057447D">
            <w:pPr>
              <w:autoSpaceDN w:val="0"/>
              <w:spacing w:line="320" w:lineRule="exact"/>
              <w:jc w:val="center"/>
              <w:textAlignment w:val="center"/>
              <w:rPr>
                <w:rFonts w:eastAsia="仿宋_GB2312" w:cs="仿宋_GB2312"/>
                <w:sz w:val="24"/>
              </w:rPr>
            </w:pPr>
          </w:p>
        </w:tc>
        <w:tc>
          <w:tcPr>
            <w:tcW w:w="1080" w:type="dxa"/>
            <w:vMerge/>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1200" w:type="dxa"/>
            <w:gridSpan w:val="2"/>
            <w:tcBorders>
              <w:lef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上年结转</w:t>
            </w:r>
          </w:p>
        </w:tc>
        <w:tc>
          <w:tcPr>
            <w:tcW w:w="1308"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公共财</w:t>
            </w:r>
          </w:p>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政拨款</w:t>
            </w:r>
          </w:p>
        </w:tc>
        <w:tc>
          <w:tcPr>
            <w:tcW w:w="1232"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政府基金拨款</w:t>
            </w:r>
          </w:p>
        </w:tc>
        <w:tc>
          <w:tcPr>
            <w:tcW w:w="2202" w:type="dxa"/>
            <w:gridSpan w:val="3"/>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纳入专户管理的非税收入拨款</w:t>
            </w:r>
          </w:p>
        </w:tc>
        <w:tc>
          <w:tcPr>
            <w:tcW w:w="1080" w:type="dxa"/>
            <w:gridSpan w:val="3"/>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其他</w:t>
            </w:r>
          </w:p>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收入</w:t>
            </w:r>
          </w:p>
        </w:tc>
      </w:tr>
      <w:tr w:rsidR="0057447D" w:rsidTr="00D80294">
        <w:trPr>
          <w:trHeight w:val="772"/>
          <w:jc w:val="center"/>
        </w:trPr>
        <w:tc>
          <w:tcPr>
            <w:tcW w:w="1698" w:type="dxa"/>
            <w:gridSpan w:val="2"/>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局机关及二级机构汇总</w:t>
            </w:r>
          </w:p>
        </w:tc>
        <w:tc>
          <w:tcPr>
            <w:tcW w:w="1080" w:type="dxa"/>
            <w:tcBorders>
              <w:righ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3062.31</w:t>
            </w:r>
          </w:p>
        </w:tc>
        <w:tc>
          <w:tcPr>
            <w:tcW w:w="1200" w:type="dxa"/>
            <w:gridSpan w:val="2"/>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1890.17</w:t>
            </w:r>
          </w:p>
        </w:tc>
        <w:tc>
          <w:tcPr>
            <w:tcW w:w="1308" w:type="dxa"/>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1155.85</w:t>
            </w:r>
          </w:p>
        </w:tc>
        <w:tc>
          <w:tcPr>
            <w:tcW w:w="1232" w:type="dxa"/>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10.00</w:t>
            </w:r>
          </w:p>
        </w:tc>
        <w:tc>
          <w:tcPr>
            <w:tcW w:w="2202" w:type="dxa"/>
            <w:gridSpan w:val="3"/>
            <w:vAlign w:val="center"/>
          </w:tcPr>
          <w:p w:rsidR="0057447D" w:rsidRDefault="0057447D">
            <w:pPr>
              <w:autoSpaceDN w:val="0"/>
              <w:spacing w:line="320" w:lineRule="exact"/>
              <w:jc w:val="center"/>
              <w:textAlignment w:val="center"/>
              <w:rPr>
                <w:rFonts w:ascii="Times New Roman" w:eastAsia="仿宋_GB2312" w:hAnsi="Times New Roman"/>
                <w:sz w:val="24"/>
              </w:rPr>
            </w:pPr>
          </w:p>
        </w:tc>
        <w:tc>
          <w:tcPr>
            <w:tcW w:w="1080" w:type="dxa"/>
            <w:gridSpan w:val="3"/>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6.29</w:t>
            </w:r>
          </w:p>
        </w:tc>
      </w:tr>
      <w:tr w:rsidR="0057447D" w:rsidTr="00D80294">
        <w:trPr>
          <w:trHeight w:val="567"/>
          <w:jc w:val="center"/>
        </w:trPr>
        <w:tc>
          <w:tcPr>
            <w:tcW w:w="1698" w:type="dxa"/>
            <w:gridSpan w:val="2"/>
            <w:vAlign w:val="center"/>
          </w:tcPr>
          <w:p w:rsidR="0057447D" w:rsidRDefault="007A4AFA">
            <w:pPr>
              <w:spacing w:line="320" w:lineRule="exact"/>
              <w:rPr>
                <w:rFonts w:eastAsia="仿宋_GB2312" w:cs="仿宋_GB2312"/>
                <w:sz w:val="24"/>
              </w:rPr>
            </w:pPr>
            <w:r>
              <w:rPr>
                <w:rFonts w:eastAsia="仿宋_GB2312" w:cs="仿宋_GB2312" w:hint="eastAsia"/>
                <w:sz w:val="24"/>
              </w:rPr>
              <w:t>1</w:t>
            </w:r>
            <w:r>
              <w:rPr>
                <w:rFonts w:eastAsia="仿宋_GB2312" w:cs="仿宋_GB2312" w:hint="eastAsia"/>
                <w:sz w:val="24"/>
              </w:rPr>
              <w:t>、局机关</w:t>
            </w:r>
          </w:p>
        </w:tc>
        <w:tc>
          <w:tcPr>
            <w:tcW w:w="1080" w:type="dxa"/>
            <w:tcBorders>
              <w:righ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3062.31</w:t>
            </w:r>
          </w:p>
        </w:tc>
        <w:tc>
          <w:tcPr>
            <w:tcW w:w="1200" w:type="dxa"/>
            <w:gridSpan w:val="2"/>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1890.17</w:t>
            </w:r>
          </w:p>
        </w:tc>
        <w:tc>
          <w:tcPr>
            <w:tcW w:w="1308" w:type="dxa"/>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1155.85</w:t>
            </w:r>
          </w:p>
        </w:tc>
        <w:tc>
          <w:tcPr>
            <w:tcW w:w="1232" w:type="dxa"/>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10.00</w:t>
            </w:r>
          </w:p>
        </w:tc>
        <w:tc>
          <w:tcPr>
            <w:tcW w:w="2202" w:type="dxa"/>
            <w:gridSpan w:val="3"/>
            <w:vAlign w:val="center"/>
          </w:tcPr>
          <w:p w:rsidR="0057447D" w:rsidRDefault="0057447D">
            <w:pPr>
              <w:autoSpaceDN w:val="0"/>
              <w:spacing w:line="320" w:lineRule="exact"/>
              <w:jc w:val="center"/>
              <w:textAlignment w:val="center"/>
              <w:rPr>
                <w:rFonts w:ascii="Times New Roman" w:eastAsia="仿宋_GB2312" w:hAnsi="Times New Roman"/>
                <w:sz w:val="24"/>
              </w:rPr>
            </w:pPr>
          </w:p>
        </w:tc>
        <w:tc>
          <w:tcPr>
            <w:tcW w:w="1080" w:type="dxa"/>
            <w:gridSpan w:val="3"/>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6.29</w:t>
            </w:r>
          </w:p>
        </w:tc>
      </w:tr>
      <w:tr w:rsidR="0057447D" w:rsidTr="00D80294">
        <w:trPr>
          <w:trHeight w:val="567"/>
          <w:jc w:val="center"/>
        </w:trPr>
        <w:tc>
          <w:tcPr>
            <w:tcW w:w="1698" w:type="dxa"/>
            <w:gridSpan w:val="2"/>
            <w:vAlign w:val="center"/>
          </w:tcPr>
          <w:p w:rsidR="0057447D" w:rsidRDefault="007A4AFA">
            <w:pPr>
              <w:spacing w:line="320" w:lineRule="exac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080" w:type="dxa"/>
            <w:tcBorders>
              <w:right w:val="single" w:sz="4" w:space="0" w:color="auto"/>
            </w:tcBorders>
            <w:vAlign w:val="center"/>
          </w:tcPr>
          <w:p w:rsidR="0057447D" w:rsidRDefault="0057447D">
            <w:pPr>
              <w:autoSpaceDN w:val="0"/>
              <w:spacing w:line="320" w:lineRule="exact"/>
              <w:jc w:val="left"/>
              <w:textAlignment w:val="center"/>
              <w:rPr>
                <w:rFonts w:eastAsia="仿宋_GB2312" w:cs="仿宋_GB2312"/>
                <w:sz w:val="24"/>
              </w:rPr>
            </w:pPr>
          </w:p>
        </w:tc>
        <w:tc>
          <w:tcPr>
            <w:tcW w:w="1200" w:type="dxa"/>
            <w:gridSpan w:val="2"/>
            <w:tcBorders>
              <w:left w:val="single" w:sz="4" w:space="0" w:color="auto"/>
            </w:tcBorders>
            <w:vAlign w:val="center"/>
          </w:tcPr>
          <w:p w:rsidR="0057447D" w:rsidRDefault="0057447D">
            <w:pPr>
              <w:autoSpaceDN w:val="0"/>
              <w:spacing w:line="320" w:lineRule="exact"/>
              <w:jc w:val="left"/>
              <w:textAlignment w:val="center"/>
              <w:rPr>
                <w:rFonts w:eastAsia="仿宋_GB2312" w:cs="仿宋_GB2312"/>
                <w:sz w:val="24"/>
              </w:rPr>
            </w:pPr>
          </w:p>
        </w:tc>
        <w:tc>
          <w:tcPr>
            <w:tcW w:w="1308" w:type="dxa"/>
            <w:vAlign w:val="center"/>
          </w:tcPr>
          <w:p w:rsidR="0057447D" w:rsidRDefault="0057447D">
            <w:pPr>
              <w:autoSpaceDN w:val="0"/>
              <w:spacing w:line="320" w:lineRule="exact"/>
              <w:jc w:val="left"/>
              <w:textAlignment w:val="center"/>
              <w:rPr>
                <w:rFonts w:eastAsia="仿宋_GB2312" w:cs="仿宋_GB2312"/>
                <w:sz w:val="24"/>
              </w:rPr>
            </w:pPr>
          </w:p>
        </w:tc>
        <w:tc>
          <w:tcPr>
            <w:tcW w:w="1232" w:type="dxa"/>
            <w:vAlign w:val="center"/>
          </w:tcPr>
          <w:p w:rsidR="0057447D" w:rsidRDefault="0057447D">
            <w:pPr>
              <w:autoSpaceDN w:val="0"/>
              <w:spacing w:line="320" w:lineRule="exact"/>
              <w:jc w:val="left"/>
              <w:textAlignment w:val="center"/>
              <w:rPr>
                <w:rFonts w:eastAsia="仿宋_GB2312" w:cs="仿宋_GB2312"/>
                <w:sz w:val="24"/>
              </w:rPr>
            </w:pPr>
          </w:p>
        </w:tc>
        <w:tc>
          <w:tcPr>
            <w:tcW w:w="2202" w:type="dxa"/>
            <w:gridSpan w:val="3"/>
            <w:vAlign w:val="center"/>
          </w:tcPr>
          <w:p w:rsidR="0057447D" w:rsidRDefault="0057447D">
            <w:pPr>
              <w:autoSpaceDN w:val="0"/>
              <w:spacing w:line="320" w:lineRule="exact"/>
              <w:jc w:val="center"/>
              <w:textAlignment w:val="center"/>
              <w:rPr>
                <w:rFonts w:eastAsia="仿宋_GB2312" w:cs="仿宋_GB2312"/>
                <w:sz w:val="24"/>
              </w:rPr>
            </w:pPr>
          </w:p>
        </w:tc>
        <w:tc>
          <w:tcPr>
            <w:tcW w:w="1080" w:type="dxa"/>
            <w:gridSpan w:val="3"/>
            <w:vAlign w:val="center"/>
          </w:tcPr>
          <w:p w:rsidR="0057447D" w:rsidRDefault="0057447D">
            <w:pPr>
              <w:autoSpaceDN w:val="0"/>
              <w:spacing w:line="320" w:lineRule="exact"/>
              <w:jc w:val="left"/>
              <w:textAlignment w:val="center"/>
              <w:rPr>
                <w:rFonts w:eastAsia="仿宋_GB2312" w:cs="仿宋_GB2312"/>
                <w:sz w:val="24"/>
              </w:rPr>
            </w:pPr>
          </w:p>
        </w:tc>
      </w:tr>
      <w:tr w:rsidR="0057447D" w:rsidTr="00D80294">
        <w:trPr>
          <w:trHeight w:val="567"/>
          <w:jc w:val="center"/>
        </w:trPr>
        <w:tc>
          <w:tcPr>
            <w:tcW w:w="1698" w:type="dxa"/>
            <w:gridSpan w:val="2"/>
            <w:vAlign w:val="center"/>
          </w:tcPr>
          <w:p w:rsidR="0057447D" w:rsidRDefault="007A4AFA">
            <w:pPr>
              <w:spacing w:line="320" w:lineRule="exac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080" w:type="dxa"/>
            <w:tcBorders>
              <w:right w:val="single" w:sz="4" w:space="0" w:color="auto"/>
            </w:tcBorders>
            <w:vAlign w:val="center"/>
          </w:tcPr>
          <w:p w:rsidR="0057447D" w:rsidRDefault="0057447D">
            <w:pPr>
              <w:autoSpaceDN w:val="0"/>
              <w:spacing w:line="320" w:lineRule="exact"/>
              <w:jc w:val="left"/>
              <w:textAlignment w:val="center"/>
              <w:rPr>
                <w:rFonts w:eastAsia="仿宋_GB2312" w:cs="仿宋_GB2312"/>
                <w:sz w:val="24"/>
              </w:rPr>
            </w:pPr>
          </w:p>
        </w:tc>
        <w:tc>
          <w:tcPr>
            <w:tcW w:w="1200" w:type="dxa"/>
            <w:gridSpan w:val="2"/>
            <w:tcBorders>
              <w:left w:val="single" w:sz="4" w:space="0" w:color="auto"/>
            </w:tcBorders>
            <w:vAlign w:val="center"/>
          </w:tcPr>
          <w:p w:rsidR="0057447D" w:rsidRDefault="0057447D">
            <w:pPr>
              <w:autoSpaceDN w:val="0"/>
              <w:spacing w:line="320" w:lineRule="exact"/>
              <w:jc w:val="left"/>
              <w:textAlignment w:val="center"/>
              <w:rPr>
                <w:rFonts w:eastAsia="仿宋_GB2312" w:cs="仿宋_GB2312"/>
                <w:sz w:val="24"/>
              </w:rPr>
            </w:pPr>
          </w:p>
        </w:tc>
        <w:tc>
          <w:tcPr>
            <w:tcW w:w="1308" w:type="dxa"/>
            <w:vAlign w:val="center"/>
          </w:tcPr>
          <w:p w:rsidR="0057447D" w:rsidRDefault="0057447D">
            <w:pPr>
              <w:autoSpaceDN w:val="0"/>
              <w:spacing w:line="320" w:lineRule="exact"/>
              <w:jc w:val="left"/>
              <w:textAlignment w:val="center"/>
              <w:rPr>
                <w:rFonts w:eastAsia="仿宋_GB2312" w:cs="仿宋_GB2312"/>
                <w:sz w:val="24"/>
              </w:rPr>
            </w:pPr>
          </w:p>
        </w:tc>
        <w:tc>
          <w:tcPr>
            <w:tcW w:w="1232" w:type="dxa"/>
            <w:vAlign w:val="center"/>
          </w:tcPr>
          <w:p w:rsidR="0057447D" w:rsidRDefault="0057447D">
            <w:pPr>
              <w:autoSpaceDN w:val="0"/>
              <w:spacing w:line="320" w:lineRule="exact"/>
              <w:jc w:val="left"/>
              <w:textAlignment w:val="center"/>
              <w:rPr>
                <w:rFonts w:eastAsia="仿宋_GB2312" w:cs="仿宋_GB2312"/>
                <w:sz w:val="24"/>
              </w:rPr>
            </w:pPr>
          </w:p>
        </w:tc>
        <w:tc>
          <w:tcPr>
            <w:tcW w:w="2202" w:type="dxa"/>
            <w:gridSpan w:val="3"/>
            <w:vAlign w:val="center"/>
          </w:tcPr>
          <w:p w:rsidR="0057447D" w:rsidRDefault="0057447D">
            <w:pPr>
              <w:autoSpaceDN w:val="0"/>
              <w:spacing w:line="320" w:lineRule="exact"/>
              <w:jc w:val="center"/>
              <w:textAlignment w:val="center"/>
              <w:rPr>
                <w:rFonts w:eastAsia="仿宋_GB2312" w:cs="仿宋_GB2312"/>
                <w:sz w:val="24"/>
              </w:rPr>
            </w:pPr>
          </w:p>
        </w:tc>
        <w:tc>
          <w:tcPr>
            <w:tcW w:w="1080" w:type="dxa"/>
            <w:gridSpan w:val="3"/>
            <w:vAlign w:val="center"/>
          </w:tcPr>
          <w:p w:rsidR="0057447D" w:rsidRDefault="0057447D">
            <w:pPr>
              <w:autoSpaceDN w:val="0"/>
              <w:spacing w:line="320" w:lineRule="exact"/>
              <w:jc w:val="left"/>
              <w:textAlignment w:val="center"/>
              <w:rPr>
                <w:rFonts w:eastAsia="仿宋_GB2312" w:cs="仿宋_GB2312"/>
                <w:sz w:val="24"/>
              </w:rPr>
            </w:pPr>
          </w:p>
        </w:tc>
      </w:tr>
      <w:tr w:rsidR="0057447D">
        <w:trPr>
          <w:trHeight w:val="494"/>
          <w:jc w:val="center"/>
        </w:trPr>
        <w:tc>
          <w:tcPr>
            <w:tcW w:w="9800" w:type="dxa"/>
            <w:gridSpan w:val="13"/>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b/>
                <w:bCs/>
                <w:sz w:val="24"/>
              </w:rPr>
              <w:lastRenderedPageBreak/>
              <w:t>部门（单位）年度支出和结余情况（万元）</w:t>
            </w:r>
          </w:p>
        </w:tc>
      </w:tr>
      <w:tr w:rsidR="0057447D">
        <w:trPr>
          <w:trHeight w:val="409"/>
          <w:jc w:val="center"/>
        </w:trPr>
        <w:tc>
          <w:tcPr>
            <w:tcW w:w="1698" w:type="dxa"/>
            <w:gridSpan w:val="2"/>
            <w:vMerge w:val="restart"/>
            <w:vAlign w:val="center"/>
          </w:tcPr>
          <w:p w:rsidR="0057447D" w:rsidRDefault="007A4AFA">
            <w:pPr>
              <w:snapToGrid w:val="0"/>
              <w:spacing w:line="320" w:lineRule="exact"/>
              <w:jc w:val="center"/>
              <w:rPr>
                <w:rFonts w:eastAsia="仿宋_GB2312" w:cs="仿宋_GB2312"/>
                <w:sz w:val="24"/>
              </w:rPr>
            </w:pPr>
            <w:r>
              <w:rPr>
                <w:rFonts w:eastAsia="仿宋_GB2312" w:cs="仿宋_GB2312" w:hint="eastAsia"/>
                <w:sz w:val="24"/>
              </w:rPr>
              <w:t>机构名称</w:t>
            </w:r>
          </w:p>
        </w:tc>
        <w:tc>
          <w:tcPr>
            <w:tcW w:w="1080" w:type="dxa"/>
            <w:vMerge w:val="restart"/>
            <w:tcBorders>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支出合计</w:t>
            </w:r>
          </w:p>
        </w:tc>
        <w:tc>
          <w:tcPr>
            <w:tcW w:w="5160" w:type="dxa"/>
            <w:gridSpan w:val="6"/>
            <w:tcBorders>
              <w:left w:val="single" w:sz="4" w:space="0" w:color="auto"/>
              <w:bottom w:val="single" w:sz="4" w:space="0" w:color="auto"/>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c>
          <w:tcPr>
            <w:tcW w:w="1862" w:type="dxa"/>
            <w:gridSpan w:val="4"/>
            <w:tcBorders>
              <w:left w:val="single" w:sz="4" w:space="0" w:color="auto"/>
              <w:bottom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结余</w:t>
            </w:r>
          </w:p>
        </w:tc>
      </w:tr>
      <w:tr w:rsidR="0057447D">
        <w:trPr>
          <w:trHeight w:val="360"/>
          <w:jc w:val="center"/>
        </w:trPr>
        <w:tc>
          <w:tcPr>
            <w:tcW w:w="1698" w:type="dxa"/>
            <w:gridSpan w:val="2"/>
            <w:vMerge/>
            <w:vAlign w:val="center"/>
          </w:tcPr>
          <w:p w:rsidR="0057447D" w:rsidRDefault="0057447D">
            <w:pPr>
              <w:spacing w:line="320" w:lineRule="exact"/>
              <w:jc w:val="center"/>
              <w:rPr>
                <w:rFonts w:eastAsia="仿宋_GB2312" w:cs="仿宋_GB2312"/>
                <w:sz w:val="24"/>
              </w:rPr>
            </w:pPr>
          </w:p>
        </w:tc>
        <w:tc>
          <w:tcPr>
            <w:tcW w:w="1080" w:type="dxa"/>
            <w:vMerge/>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1200" w:type="dxa"/>
            <w:gridSpan w:val="2"/>
            <w:vMerge w:val="restart"/>
            <w:tcBorders>
              <w:top w:val="single" w:sz="4" w:space="0" w:color="auto"/>
              <w:lef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基本支出</w:t>
            </w:r>
          </w:p>
        </w:tc>
        <w:tc>
          <w:tcPr>
            <w:tcW w:w="2540" w:type="dxa"/>
            <w:gridSpan w:val="2"/>
            <w:tcBorders>
              <w:top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c>
          <w:tcPr>
            <w:tcW w:w="1420" w:type="dxa"/>
            <w:gridSpan w:val="2"/>
            <w:vMerge w:val="restart"/>
            <w:tcBorders>
              <w:top w:val="single" w:sz="4" w:space="0" w:color="auto"/>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项目支出</w:t>
            </w:r>
          </w:p>
        </w:tc>
        <w:tc>
          <w:tcPr>
            <w:tcW w:w="1000" w:type="dxa"/>
            <w:gridSpan w:val="3"/>
            <w:vMerge w:val="restart"/>
            <w:tcBorders>
              <w:top w:val="single" w:sz="4" w:space="0" w:color="auto"/>
              <w:left w:val="single" w:sz="4" w:space="0" w:color="auto"/>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当年结余</w:t>
            </w:r>
          </w:p>
        </w:tc>
        <w:tc>
          <w:tcPr>
            <w:tcW w:w="862" w:type="dxa"/>
            <w:vMerge w:val="restart"/>
            <w:tcBorders>
              <w:top w:val="single" w:sz="4" w:space="0" w:color="auto"/>
              <w:lef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累计结余</w:t>
            </w:r>
          </w:p>
        </w:tc>
      </w:tr>
      <w:tr w:rsidR="0057447D" w:rsidTr="00D80294">
        <w:trPr>
          <w:trHeight w:val="449"/>
          <w:jc w:val="center"/>
        </w:trPr>
        <w:tc>
          <w:tcPr>
            <w:tcW w:w="1698" w:type="dxa"/>
            <w:gridSpan w:val="2"/>
            <w:vMerge/>
            <w:vAlign w:val="center"/>
          </w:tcPr>
          <w:p w:rsidR="0057447D" w:rsidRDefault="0057447D">
            <w:pPr>
              <w:spacing w:line="320" w:lineRule="exact"/>
              <w:jc w:val="center"/>
              <w:rPr>
                <w:rFonts w:eastAsia="仿宋_GB2312" w:cs="仿宋_GB2312"/>
                <w:sz w:val="24"/>
              </w:rPr>
            </w:pPr>
          </w:p>
        </w:tc>
        <w:tc>
          <w:tcPr>
            <w:tcW w:w="1080" w:type="dxa"/>
            <w:vMerge/>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1200" w:type="dxa"/>
            <w:gridSpan w:val="2"/>
            <w:vMerge/>
            <w:tcBorders>
              <w:lef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1308"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人员支出</w:t>
            </w:r>
          </w:p>
        </w:tc>
        <w:tc>
          <w:tcPr>
            <w:tcW w:w="1232"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公用支出</w:t>
            </w:r>
          </w:p>
        </w:tc>
        <w:tc>
          <w:tcPr>
            <w:tcW w:w="1420" w:type="dxa"/>
            <w:gridSpan w:val="2"/>
            <w:vMerge/>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1000" w:type="dxa"/>
            <w:gridSpan w:val="3"/>
            <w:vMerge/>
            <w:tcBorders>
              <w:left w:val="single" w:sz="4" w:space="0" w:color="auto"/>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862" w:type="dxa"/>
            <w:vMerge/>
            <w:tcBorders>
              <w:lef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r>
      <w:tr w:rsidR="0057447D" w:rsidTr="00D80294">
        <w:trPr>
          <w:trHeight w:val="877"/>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局机关及二级机构汇总</w:t>
            </w:r>
          </w:p>
        </w:tc>
        <w:tc>
          <w:tcPr>
            <w:tcW w:w="1080" w:type="dxa"/>
            <w:tcBorders>
              <w:righ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2192.48</w:t>
            </w:r>
          </w:p>
        </w:tc>
        <w:tc>
          <w:tcPr>
            <w:tcW w:w="1200" w:type="dxa"/>
            <w:gridSpan w:val="2"/>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743.90</w:t>
            </w:r>
          </w:p>
        </w:tc>
        <w:tc>
          <w:tcPr>
            <w:tcW w:w="1308" w:type="dxa"/>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715.72</w:t>
            </w:r>
          </w:p>
        </w:tc>
        <w:tc>
          <w:tcPr>
            <w:tcW w:w="1232" w:type="dxa"/>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28.18</w:t>
            </w:r>
          </w:p>
        </w:tc>
        <w:tc>
          <w:tcPr>
            <w:tcW w:w="1420" w:type="dxa"/>
            <w:gridSpan w:val="2"/>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1448.58</w:t>
            </w:r>
          </w:p>
        </w:tc>
        <w:tc>
          <w:tcPr>
            <w:tcW w:w="1000" w:type="dxa"/>
            <w:gridSpan w:val="3"/>
            <w:tcBorders>
              <w:righ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-1026.63</w:t>
            </w:r>
          </w:p>
        </w:tc>
        <w:tc>
          <w:tcPr>
            <w:tcW w:w="862" w:type="dxa"/>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863.54</w:t>
            </w:r>
          </w:p>
        </w:tc>
      </w:tr>
      <w:tr w:rsidR="0057447D" w:rsidTr="00D80294">
        <w:trPr>
          <w:trHeight w:val="624"/>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、局机关</w:t>
            </w:r>
          </w:p>
        </w:tc>
        <w:tc>
          <w:tcPr>
            <w:tcW w:w="1080" w:type="dxa"/>
            <w:tcBorders>
              <w:righ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2192.48</w:t>
            </w:r>
          </w:p>
        </w:tc>
        <w:tc>
          <w:tcPr>
            <w:tcW w:w="1200" w:type="dxa"/>
            <w:gridSpan w:val="2"/>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743.90</w:t>
            </w:r>
          </w:p>
        </w:tc>
        <w:tc>
          <w:tcPr>
            <w:tcW w:w="1308" w:type="dxa"/>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715.72</w:t>
            </w:r>
          </w:p>
        </w:tc>
        <w:tc>
          <w:tcPr>
            <w:tcW w:w="1232" w:type="dxa"/>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28.18</w:t>
            </w:r>
          </w:p>
        </w:tc>
        <w:tc>
          <w:tcPr>
            <w:tcW w:w="1420" w:type="dxa"/>
            <w:gridSpan w:val="2"/>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1448.58</w:t>
            </w:r>
          </w:p>
        </w:tc>
        <w:tc>
          <w:tcPr>
            <w:tcW w:w="1000" w:type="dxa"/>
            <w:gridSpan w:val="3"/>
            <w:tcBorders>
              <w:righ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-1026.63</w:t>
            </w:r>
          </w:p>
        </w:tc>
        <w:tc>
          <w:tcPr>
            <w:tcW w:w="862" w:type="dxa"/>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863.54</w:t>
            </w:r>
          </w:p>
        </w:tc>
      </w:tr>
      <w:tr w:rsidR="0057447D" w:rsidTr="00D80294">
        <w:trPr>
          <w:trHeight w:val="624"/>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080" w:type="dxa"/>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1200" w:type="dxa"/>
            <w:gridSpan w:val="2"/>
            <w:tcBorders>
              <w:lef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1308" w:type="dxa"/>
            <w:vAlign w:val="center"/>
          </w:tcPr>
          <w:p w:rsidR="0057447D" w:rsidRDefault="0057447D">
            <w:pPr>
              <w:autoSpaceDN w:val="0"/>
              <w:spacing w:line="320" w:lineRule="exact"/>
              <w:jc w:val="center"/>
              <w:textAlignment w:val="center"/>
              <w:rPr>
                <w:rFonts w:eastAsia="仿宋_GB2312" w:cs="仿宋_GB2312"/>
                <w:sz w:val="24"/>
              </w:rPr>
            </w:pPr>
          </w:p>
        </w:tc>
        <w:tc>
          <w:tcPr>
            <w:tcW w:w="1232" w:type="dxa"/>
            <w:vAlign w:val="center"/>
          </w:tcPr>
          <w:p w:rsidR="0057447D" w:rsidRDefault="0057447D">
            <w:pPr>
              <w:autoSpaceDN w:val="0"/>
              <w:spacing w:line="320" w:lineRule="exact"/>
              <w:jc w:val="center"/>
              <w:textAlignment w:val="center"/>
              <w:rPr>
                <w:rFonts w:eastAsia="仿宋_GB2312" w:cs="仿宋_GB2312"/>
                <w:sz w:val="24"/>
              </w:rPr>
            </w:pPr>
          </w:p>
        </w:tc>
        <w:tc>
          <w:tcPr>
            <w:tcW w:w="1420" w:type="dxa"/>
            <w:gridSpan w:val="2"/>
            <w:vAlign w:val="center"/>
          </w:tcPr>
          <w:p w:rsidR="0057447D" w:rsidRDefault="0057447D">
            <w:pPr>
              <w:autoSpaceDN w:val="0"/>
              <w:spacing w:line="320" w:lineRule="exact"/>
              <w:jc w:val="center"/>
              <w:textAlignment w:val="center"/>
              <w:rPr>
                <w:rFonts w:eastAsia="仿宋_GB2312" w:cs="仿宋_GB2312"/>
                <w:sz w:val="24"/>
              </w:rPr>
            </w:pPr>
          </w:p>
        </w:tc>
        <w:tc>
          <w:tcPr>
            <w:tcW w:w="1000" w:type="dxa"/>
            <w:gridSpan w:val="3"/>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862" w:type="dxa"/>
            <w:tcBorders>
              <w:lef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r>
      <w:tr w:rsidR="0057447D" w:rsidTr="00D80294">
        <w:trPr>
          <w:trHeight w:val="624"/>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080" w:type="dxa"/>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1200" w:type="dxa"/>
            <w:gridSpan w:val="2"/>
            <w:tcBorders>
              <w:lef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1308" w:type="dxa"/>
            <w:vAlign w:val="center"/>
          </w:tcPr>
          <w:p w:rsidR="0057447D" w:rsidRDefault="0057447D">
            <w:pPr>
              <w:autoSpaceDN w:val="0"/>
              <w:spacing w:line="320" w:lineRule="exact"/>
              <w:jc w:val="center"/>
              <w:textAlignment w:val="center"/>
              <w:rPr>
                <w:rFonts w:eastAsia="仿宋_GB2312" w:cs="仿宋_GB2312"/>
                <w:sz w:val="24"/>
              </w:rPr>
            </w:pPr>
          </w:p>
        </w:tc>
        <w:tc>
          <w:tcPr>
            <w:tcW w:w="1232" w:type="dxa"/>
            <w:vAlign w:val="center"/>
          </w:tcPr>
          <w:p w:rsidR="0057447D" w:rsidRDefault="0057447D">
            <w:pPr>
              <w:autoSpaceDN w:val="0"/>
              <w:spacing w:line="320" w:lineRule="exact"/>
              <w:jc w:val="center"/>
              <w:textAlignment w:val="center"/>
              <w:rPr>
                <w:rFonts w:eastAsia="仿宋_GB2312" w:cs="仿宋_GB2312"/>
                <w:sz w:val="24"/>
              </w:rPr>
            </w:pPr>
          </w:p>
        </w:tc>
        <w:tc>
          <w:tcPr>
            <w:tcW w:w="1420" w:type="dxa"/>
            <w:gridSpan w:val="2"/>
            <w:vAlign w:val="center"/>
          </w:tcPr>
          <w:p w:rsidR="0057447D" w:rsidRDefault="0057447D">
            <w:pPr>
              <w:autoSpaceDN w:val="0"/>
              <w:spacing w:line="320" w:lineRule="exact"/>
              <w:jc w:val="center"/>
              <w:textAlignment w:val="center"/>
              <w:rPr>
                <w:rFonts w:eastAsia="仿宋_GB2312" w:cs="仿宋_GB2312"/>
                <w:sz w:val="24"/>
              </w:rPr>
            </w:pPr>
          </w:p>
        </w:tc>
        <w:tc>
          <w:tcPr>
            <w:tcW w:w="1000" w:type="dxa"/>
            <w:gridSpan w:val="3"/>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862" w:type="dxa"/>
            <w:tcBorders>
              <w:lef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r>
      <w:tr w:rsidR="0057447D">
        <w:trPr>
          <w:trHeight w:val="464"/>
          <w:jc w:val="center"/>
        </w:trPr>
        <w:tc>
          <w:tcPr>
            <w:tcW w:w="1698" w:type="dxa"/>
            <w:gridSpan w:val="2"/>
            <w:vMerge w:val="restart"/>
            <w:vAlign w:val="center"/>
          </w:tcPr>
          <w:p w:rsidR="0057447D" w:rsidRDefault="007A4AFA">
            <w:pPr>
              <w:spacing w:line="320" w:lineRule="exact"/>
              <w:jc w:val="center"/>
              <w:rPr>
                <w:rFonts w:eastAsia="仿宋_GB2312" w:cs="仿宋_GB2312"/>
                <w:sz w:val="24"/>
              </w:rPr>
            </w:pPr>
            <w:r>
              <w:rPr>
                <w:rFonts w:eastAsia="仿宋_GB2312" w:cs="仿宋_GB2312" w:hint="eastAsia"/>
                <w:sz w:val="24"/>
              </w:rPr>
              <w:t>机构名称</w:t>
            </w:r>
          </w:p>
        </w:tc>
        <w:tc>
          <w:tcPr>
            <w:tcW w:w="1080" w:type="dxa"/>
            <w:vMerge w:val="restart"/>
            <w:tcBorders>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三公经费</w:t>
            </w:r>
          </w:p>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合计</w:t>
            </w:r>
          </w:p>
        </w:tc>
        <w:tc>
          <w:tcPr>
            <w:tcW w:w="7022" w:type="dxa"/>
            <w:gridSpan w:val="10"/>
            <w:tcBorders>
              <w:lef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r>
      <w:tr w:rsidR="0057447D" w:rsidTr="00D80294">
        <w:trPr>
          <w:trHeight w:val="624"/>
          <w:jc w:val="center"/>
        </w:trPr>
        <w:tc>
          <w:tcPr>
            <w:tcW w:w="1698" w:type="dxa"/>
            <w:gridSpan w:val="2"/>
            <w:vMerge/>
            <w:vAlign w:val="center"/>
          </w:tcPr>
          <w:p w:rsidR="0057447D" w:rsidRDefault="0057447D">
            <w:pPr>
              <w:spacing w:line="320" w:lineRule="exact"/>
              <w:jc w:val="center"/>
              <w:rPr>
                <w:rFonts w:eastAsia="仿宋_GB2312" w:cs="仿宋_GB2312"/>
                <w:sz w:val="24"/>
              </w:rPr>
            </w:pPr>
          </w:p>
        </w:tc>
        <w:tc>
          <w:tcPr>
            <w:tcW w:w="1080" w:type="dxa"/>
            <w:vMerge/>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1200" w:type="dxa"/>
            <w:gridSpan w:val="2"/>
            <w:tcBorders>
              <w:lef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pacing w:val="-11"/>
                <w:sz w:val="24"/>
              </w:rPr>
              <w:t>公务接待费</w:t>
            </w:r>
          </w:p>
        </w:tc>
        <w:tc>
          <w:tcPr>
            <w:tcW w:w="1308"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pacing w:val="-11"/>
                <w:sz w:val="24"/>
              </w:rPr>
              <w:t>公务用车运行维护费</w:t>
            </w:r>
          </w:p>
        </w:tc>
        <w:tc>
          <w:tcPr>
            <w:tcW w:w="1232"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公务用车购置费</w:t>
            </w:r>
          </w:p>
        </w:tc>
        <w:tc>
          <w:tcPr>
            <w:tcW w:w="3282" w:type="dxa"/>
            <w:gridSpan w:val="6"/>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因公出国（</w:t>
            </w:r>
            <w:r>
              <w:rPr>
                <w:rFonts w:cs="宋体" w:hint="eastAsia"/>
                <w:sz w:val="24"/>
              </w:rPr>
              <w:t>境）</w:t>
            </w:r>
            <w:r>
              <w:rPr>
                <w:rFonts w:eastAsia="仿宋_GB2312" w:cs="仿宋_GB2312" w:hint="eastAsia"/>
                <w:sz w:val="24"/>
              </w:rPr>
              <w:t>费用</w:t>
            </w:r>
          </w:p>
        </w:tc>
      </w:tr>
      <w:tr w:rsidR="0057447D" w:rsidTr="00D80294">
        <w:trPr>
          <w:trHeight w:val="743"/>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局机关及二级机构汇总</w:t>
            </w:r>
          </w:p>
        </w:tc>
        <w:tc>
          <w:tcPr>
            <w:tcW w:w="1080" w:type="dxa"/>
            <w:tcBorders>
              <w:righ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5.55</w:t>
            </w:r>
          </w:p>
        </w:tc>
        <w:tc>
          <w:tcPr>
            <w:tcW w:w="1200" w:type="dxa"/>
            <w:gridSpan w:val="2"/>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0.82</w:t>
            </w:r>
          </w:p>
        </w:tc>
        <w:tc>
          <w:tcPr>
            <w:tcW w:w="1308" w:type="dxa"/>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4.73</w:t>
            </w:r>
          </w:p>
        </w:tc>
        <w:tc>
          <w:tcPr>
            <w:tcW w:w="1232" w:type="dxa"/>
            <w:vAlign w:val="center"/>
          </w:tcPr>
          <w:p w:rsidR="0057447D" w:rsidRDefault="0057447D">
            <w:pPr>
              <w:autoSpaceDN w:val="0"/>
              <w:spacing w:line="320" w:lineRule="exact"/>
              <w:jc w:val="center"/>
              <w:textAlignment w:val="center"/>
              <w:rPr>
                <w:rFonts w:eastAsia="仿宋_GB2312" w:cs="仿宋_GB2312"/>
                <w:sz w:val="24"/>
              </w:rPr>
            </w:pPr>
          </w:p>
        </w:tc>
        <w:tc>
          <w:tcPr>
            <w:tcW w:w="3282" w:type="dxa"/>
            <w:gridSpan w:val="6"/>
            <w:vAlign w:val="center"/>
          </w:tcPr>
          <w:p w:rsidR="0057447D" w:rsidRDefault="0057447D">
            <w:pPr>
              <w:autoSpaceDN w:val="0"/>
              <w:spacing w:line="320" w:lineRule="exact"/>
              <w:jc w:val="center"/>
              <w:textAlignment w:val="center"/>
              <w:rPr>
                <w:rFonts w:eastAsia="仿宋_GB2312" w:cs="仿宋_GB2312"/>
                <w:sz w:val="24"/>
              </w:rPr>
            </w:pPr>
          </w:p>
        </w:tc>
      </w:tr>
      <w:tr w:rsidR="0057447D" w:rsidTr="00D80294">
        <w:trPr>
          <w:trHeight w:hRule="exact" w:val="454"/>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、局机关</w:t>
            </w:r>
          </w:p>
        </w:tc>
        <w:tc>
          <w:tcPr>
            <w:tcW w:w="1080" w:type="dxa"/>
            <w:tcBorders>
              <w:righ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5.55</w:t>
            </w:r>
          </w:p>
        </w:tc>
        <w:tc>
          <w:tcPr>
            <w:tcW w:w="1200" w:type="dxa"/>
            <w:gridSpan w:val="2"/>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0.82</w:t>
            </w:r>
          </w:p>
        </w:tc>
        <w:tc>
          <w:tcPr>
            <w:tcW w:w="1308" w:type="dxa"/>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4.73</w:t>
            </w:r>
          </w:p>
        </w:tc>
        <w:tc>
          <w:tcPr>
            <w:tcW w:w="1232" w:type="dxa"/>
            <w:vAlign w:val="center"/>
          </w:tcPr>
          <w:p w:rsidR="0057447D" w:rsidRDefault="0057447D">
            <w:pPr>
              <w:autoSpaceDN w:val="0"/>
              <w:spacing w:line="320" w:lineRule="exact"/>
              <w:jc w:val="center"/>
              <w:textAlignment w:val="center"/>
              <w:rPr>
                <w:rFonts w:eastAsia="仿宋_GB2312" w:cs="仿宋_GB2312"/>
                <w:sz w:val="24"/>
              </w:rPr>
            </w:pPr>
          </w:p>
        </w:tc>
        <w:tc>
          <w:tcPr>
            <w:tcW w:w="3282" w:type="dxa"/>
            <w:gridSpan w:val="6"/>
            <w:vAlign w:val="center"/>
          </w:tcPr>
          <w:p w:rsidR="0057447D" w:rsidRDefault="0057447D">
            <w:pPr>
              <w:autoSpaceDN w:val="0"/>
              <w:spacing w:line="320" w:lineRule="exact"/>
              <w:jc w:val="center"/>
              <w:textAlignment w:val="center"/>
              <w:rPr>
                <w:rFonts w:eastAsia="仿宋_GB2312" w:cs="仿宋_GB2312"/>
                <w:sz w:val="24"/>
              </w:rPr>
            </w:pPr>
          </w:p>
        </w:tc>
      </w:tr>
      <w:tr w:rsidR="0057447D" w:rsidTr="00D80294">
        <w:trPr>
          <w:trHeight w:hRule="exact" w:val="454"/>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080" w:type="dxa"/>
            <w:tcBorders>
              <w:right w:val="single" w:sz="4" w:space="0" w:color="auto"/>
            </w:tcBorders>
            <w:vAlign w:val="center"/>
          </w:tcPr>
          <w:p w:rsidR="0057447D" w:rsidRDefault="0057447D">
            <w:pPr>
              <w:autoSpaceDN w:val="0"/>
              <w:spacing w:line="320" w:lineRule="exact"/>
              <w:jc w:val="center"/>
              <w:textAlignment w:val="center"/>
              <w:rPr>
                <w:rFonts w:ascii="Times New Roman" w:eastAsia="仿宋_GB2312" w:hAnsi="Times New Roman"/>
                <w:sz w:val="24"/>
              </w:rPr>
            </w:pPr>
          </w:p>
        </w:tc>
        <w:tc>
          <w:tcPr>
            <w:tcW w:w="1200" w:type="dxa"/>
            <w:gridSpan w:val="2"/>
            <w:tcBorders>
              <w:left w:val="single" w:sz="4" w:space="0" w:color="auto"/>
            </w:tcBorders>
            <w:vAlign w:val="center"/>
          </w:tcPr>
          <w:p w:rsidR="0057447D" w:rsidRDefault="0057447D">
            <w:pPr>
              <w:autoSpaceDN w:val="0"/>
              <w:spacing w:line="320" w:lineRule="exact"/>
              <w:jc w:val="center"/>
              <w:textAlignment w:val="center"/>
              <w:rPr>
                <w:rFonts w:ascii="Times New Roman" w:eastAsia="仿宋_GB2312" w:hAnsi="Times New Roman"/>
                <w:sz w:val="24"/>
              </w:rPr>
            </w:pPr>
          </w:p>
        </w:tc>
        <w:tc>
          <w:tcPr>
            <w:tcW w:w="1308" w:type="dxa"/>
            <w:vAlign w:val="center"/>
          </w:tcPr>
          <w:p w:rsidR="0057447D" w:rsidRDefault="0057447D">
            <w:pPr>
              <w:autoSpaceDN w:val="0"/>
              <w:spacing w:line="320" w:lineRule="exact"/>
              <w:jc w:val="center"/>
              <w:textAlignment w:val="center"/>
              <w:rPr>
                <w:rFonts w:ascii="Times New Roman" w:eastAsia="仿宋_GB2312" w:hAnsi="Times New Roman"/>
                <w:sz w:val="24"/>
              </w:rPr>
            </w:pPr>
          </w:p>
        </w:tc>
        <w:tc>
          <w:tcPr>
            <w:tcW w:w="1232" w:type="dxa"/>
            <w:vAlign w:val="center"/>
          </w:tcPr>
          <w:p w:rsidR="0057447D" w:rsidRDefault="0057447D">
            <w:pPr>
              <w:autoSpaceDN w:val="0"/>
              <w:spacing w:line="320" w:lineRule="exact"/>
              <w:jc w:val="center"/>
              <w:textAlignment w:val="center"/>
              <w:rPr>
                <w:rFonts w:eastAsia="仿宋_GB2312" w:cs="仿宋_GB2312"/>
                <w:sz w:val="24"/>
              </w:rPr>
            </w:pPr>
          </w:p>
        </w:tc>
        <w:tc>
          <w:tcPr>
            <w:tcW w:w="3282" w:type="dxa"/>
            <w:gridSpan w:val="6"/>
            <w:vAlign w:val="center"/>
          </w:tcPr>
          <w:p w:rsidR="0057447D" w:rsidRDefault="0057447D">
            <w:pPr>
              <w:autoSpaceDN w:val="0"/>
              <w:spacing w:line="320" w:lineRule="exact"/>
              <w:jc w:val="center"/>
              <w:textAlignment w:val="center"/>
              <w:rPr>
                <w:rFonts w:eastAsia="仿宋_GB2312" w:cs="仿宋_GB2312"/>
                <w:sz w:val="24"/>
              </w:rPr>
            </w:pPr>
          </w:p>
        </w:tc>
      </w:tr>
      <w:tr w:rsidR="0057447D" w:rsidTr="00D80294">
        <w:trPr>
          <w:trHeight w:hRule="exact" w:val="454"/>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080" w:type="dxa"/>
            <w:tcBorders>
              <w:right w:val="single" w:sz="4" w:space="0" w:color="auto"/>
            </w:tcBorders>
            <w:vAlign w:val="center"/>
          </w:tcPr>
          <w:p w:rsidR="0057447D" w:rsidRDefault="0057447D">
            <w:pPr>
              <w:autoSpaceDN w:val="0"/>
              <w:spacing w:line="320" w:lineRule="exact"/>
              <w:jc w:val="center"/>
              <w:textAlignment w:val="center"/>
              <w:rPr>
                <w:rFonts w:ascii="Times New Roman" w:eastAsia="仿宋_GB2312" w:hAnsi="Times New Roman"/>
                <w:sz w:val="24"/>
              </w:rPr>
            </w:pPr>
          </w:p>
        </w:tc>
        <w:tc>
          <w:tcPr>
            <w:tcW w:w="1200" w:type="dxa"/>
            <w:gridSpan w:val="2"/>
            <w:tcBorders>
              <w:left w:val="single" w:sz="4" w:space="0" w:color="auto"/>
            </w:tcBorders>
            <w:vAlign w:val="center"/>
          </w:tcPr>
          <w:p w:rsidR="0057447D" w:rsidRDefault="0057447D">
            <w:pPr>
              <w:autoSpaceDN w:val="0"/>
              <w:spacing w:line="320" w:lineRule="exact"/>
              <w:jc w:val="center"/>
              <w:textAlignment w:val="center"/>
              <w:rPr>
                <w:rFonts w:ascii="Times New Roman" w:eastAsia="仿宋_GB2312" w:hAnsi="Times New Roman"/>
                <w:sz w:val="24"/>
              </w:rPr>
            </w:pPr>
          </w:p>
        </w:tc>
        <w:tc>
          <w:tcPr>
            <w:tcW w:w="1308" w:type="dxa"/>
            <w:vAlign w:val="center"/>
          </w:tcPr>
          <w:p w:rsidR="0057447D" w:rsidRDefault="0057447D">
            <w:pPr>
              <w:autoSpaceDN w:val="0"/>
              <w:spacing w:line="320" w:lineRule="exact"/>
              <w:jc w:val="center"/>
              <w:textAlignment w:val="center"/>
              <w:rPr>
                <w:rFonts w:ascii="Times New Roman" w:eastAsia="仿宋_GB2312" w:hAnsi="Times New Roman"/>
                <w:sz w:val="24"/>
              </w:rPr>
            </w:pPr>
          </w:p>
        </w:tc>
        <w:tc>
          <w:tcPr>
            <w:tcW w:w="1232" w:type="dxa"/>
            <w:vAlign w:val="center"/>
          </w:tcPr>
          <w:p w:rsidR="0057447D" w:rsidRDefault="0057447D">
            <w:pPr>
              <w:autoSpaceDN w:val="0"/>
              <w:spacing w:line="320" w:lineRule="exact"/>
              <w:jc w:val="center"/>
              <w:textAlignment w:val="center"/>
              <w:rPr>
                <w:rFonts w:eastAsia="仿宋_GB2312" w:cs="仿宋_GB2312"/>
                <w:sz w:val="24"/>
              </w:rPr>
            </w:pPr>
          </w:p>
        </w:tc>
        <w:tc>
          <w:tcPr>
            <w:tcW w:w="3282" w:type="dxa"/>
            <w:gridSpan w:val="6"/>
            <w:vAlign w:val="center"/>
          </w:tcPr>
          <w:p w:rsidR="0057447D" w:rsidRDefault="0057447D">
            <w:pPr>
              <w:autoSpaceDN w:val="0"/>
              <w:spacing w:line="320" w:lineRule="exact"/>
              <w:jc w:val="center"/>
              <w:textAlignment w:val="center"/>
              <w:rPr>
                <w:rFonts w:eastAsia="仿宋_GB2312" w:cs="仿宋_GB2312"/>
                <w:sz w:val="24"/>
              </w:rPr>
            </w:pPr>
          </w:p>
        </w:tc>
      </w:tr>
      <w:tr w:rsidR="0057447D">
        <w:trPr>
          <w:trHeight w:val="594"/>
          <w:jc w:val="center"/>
        </w:trPr>
        <w:tc>
          <w:tcPr>
            <w:tcW w:w="1698" w:type="dxa"/>
            <w:gridSpan w:val="2"/>
            <w:vMerge w:val="restart"/>
            <w:vAlign w:val="center"/>
          </w:tcPr>
          <w:p w:rsidR="0057447D" w:rsidRDefault="007A4AFA">
            <w:pPr>
              <w:spacing w:line="320" w:lineRule="exact"/>
              <w:jc w:val="center"/>
              <w:rPr>
                <w:rFonts w:eastAsia="仿宋_GB2312" w:cs="仿宋_GB2312"/>
                <w:sz w:val="24"/>
              </w:rPr>
            </w:pPr>
            <w:r>
              <w:rPr>
                <w:rFonts w:eastAsia="仿宋_GB2312" w:cs="仿宋_GB2312" w:hint="eastAsia"/>
                <w:sz w:val="24"/>
              </w:rPr>
              <w:t>机构名称</w:t>
            </w:r>
          </w:p>
        </w:tc>
        <w:tc>
          <w:tcPr>
            <w:tcW w:w="1080" w:type="dxa"/>
            <w:vMerge w:val="restart"/>
            <w:tcBorders>
              <w:righ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固定资产</w:t>
            </w:r>
          </w:p>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合计</w:t>
            </w:r>
          </w:p>
        </w:tc>
        <w:tc>
          <w:tcPr>
            <w:tcW w:w="7022" w:type="dxa"/>
            <w:gridSpan w:val="10"/>
            <w:tcBorders>
              <w:left w:val="single" w:sz="4" w:space="0" w:color="auto"/>
            </w:tcBorders>
            <w:vAlign w:val="center"/>
          </w:tcPr>
          <w:p w:rsidR="0057447D" w:rsidRDefault="007A4AFA" w:rsidP="00D80294">
            <w:pPr>
              <w:autoSpaceDN w:val="0"/>
              <w:spacing w:line="320" w:lineRule="exact"/>
              <w:ind w:firstLineChars="900" w:firstLine="2160"/>
              <w:textAlignment w:val="center"/>
              <w:rPr>
                <w:rFonts w:ascii="Times New Roman" w:eastAsia="仿宋_GB2312" w:hAnsi="Times New Roman"/>
                <w:sz w:val="24"/>
              </w:rPr>
            </w:pPr>
            <w:r>
              <w:rPr>
                <w:rFonts w:ascii="Times New Roman" w:eastAsia="仿宋_GB2312" w:hAnsi="Times New Roman"/>
                <w:sz w:val="24"/>
              </w:rPr>
              <w:t>其中：</w:t>
            </w:r>
          </w:p>
        </w:tc>
      </w:tr>
      <w:tr w:rsidR="0057447D" w:rsidTr="00D80294">
        <w:trPr>
          <w:trHeight w:val="479"/>
          <w:jc w:val="center"/>
        </w:trPr>
        <w:tc>
          <w:tcPr>
            <w:tcW w:w="1698" w:type="dxa"/>
            <w:gridSpan w:val="2"/>
            <w:vMerge/>
            <w:vAlign w:val="center"/>
          </w:tcPr>
          <w:p w:rsidR="0057447D" w:rsidRDefault="0057447D">
            <w:pPr>
              <w:spacing w:line="320" w:lineRule="exact"/>
              <w:jc w:val="center"/>
              <w:rPr>
                <w:rFonts w:eastAsia="仿宋_GB2312" w:cs="仿宋_GB2312"/>
                <w:sz w:val="24"/>
              </w:rPr>
            </w:pPr>
          </w:p>
        </w:tc>
        <w:tc>
          <w:tcPr>
            <w:tcW w:w="1080" w:type="dxa"/>
            <w:vMerge/>
            <w:tcBorders>
              <w:right w:val="single" w:sz="4" w:space="0" w:color="auto"/>
            </w:tcBorders>
            <w:vAlign w:val="center"/>
          </w:tcPr>
          <w:p w:rsidR="0057447D" w:rsidRDefault="0057447D">
            <w:pPr>
              <w:autoSpaceDN w:val="0"/>
              <w:spacing w:line="320" w:lineRule="exact"/>
              <w:jc w:val="center"/>
              <w:textAlignment w:val="center"/>
              <w:rPr>
                <w:rFonts w:ascii="Times New Roman" w:eastAsia="仿宋_GB2312" w:hAnsi="Times New Roman"/>
                <w:sz w:val="24"/>
              </w:rPr>
            </w:pPr>
          </w:p>
        </w:tc>
        <w:tc>
          <w:tcPr>
            <w:tcW w:w="2508" w:type="dxa"/>
            <w:gridSpan w:val="3"/>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在用固定资产</w:t>
            </w:r>
          </w:p>
        </w:tc>
        <w:tc>
          <w:tcPr>
            <w:tcW w:w="3573" w:type="dxa"/>
            <w:gridSpan w:val="5"/>
            <w:tcBorders>
              <w:top w:val="single" w:sz="4" w:space="0" w:color="auto"/>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出租固定资产</w:t>
            </w:r>
          </w:p>
        </w:tc>
        <w:tc>
          <w:tcPr>
            <w:tcW w:w="941" w:type="dxa"/>
            <w:gridSpan w:val="2"/>
            <w:tcBorders>
              <w:top w:val="single" w:sz="4" w:space="0" w:color="auto"/>
              <w:lef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其他</w:t>
            </w:r>
          </w:p>
        </w:tc>
      </w:tr>
      <w:tr w:rsidR="0057447D" w:rsidTr="00D80294">
        <w:trPr>
          <w:trHeight w:val="740"/>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局机关及二级机构汇总</w:t>
            </w:r>
          </w:p>
        </w:tc>
        <w:tc>
          <w:tcPr>
            <w:tcW w:w="1080" w:type="dxa"/>
            <w:tcBorders>
              <w:righ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20.03</w:t>
            </w:r>
          </w:p>
        </w:tc>
        <w:tc>
          <w:tcPr>
            <w:tcW w:w="2508" w:type="dxa"/>
            <w:gridSpan w:val="3"/>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20.03</w:t>
            </w:r>
          </w:p>
        </w:tc>
        <w:tc>
          <w:tcPr>
            <w:tcW w:w="3573" w:type="dxa"/>
            <w:gridSpan w:val="5"/>
            <w:vAlign w:val="center"/>
          </w:tcPr>
          <w:p w:rsidR="0057447D" w:rsidRDefault="0057447D">
            <w:pPr>
              <w:autoSpaceDN w:val="0"/>
              <w:spacing w:line="320" w:lineRule="exact"/>
              <w:jc w:val="center"/>
              <w:textAlignment w:val="center"/>
              <w:rPr>
                <w:rFonts w:eastAsia="仿宋_GB2312" w:cs="仿宋_GB2312"/>
                <w:sz w:val="24"/>
              </w:rPr>
            </w:pPr>
          </w:p>
        </w:tc>
        <w:tc>
          <w:tcPr>
            <w:tcW w:w="941" w:type="dxa"/>
            <w:gridSpan w:val="2"/>
            <w:vAlign w:val="center"/>
          </w:tcPr>
          <w:p w:rsidR="0057447D" w:rsidRDefault="0057447D">
            <w:pPr>
              <w:autoSpaceDN w:val="0"/>
              <w:spacing w:line="320" w:lineRule="exact"/>
              <w:jc w:val="center"/>
              <w:textAlignment w:val="center"/>
              <w:rPr>
                <w:rFonts w:eastAsia="仿宋_GB2312" w:cs="仿宋_GB2312"/>
                <w:sz w:val="24"/>
              </w:rPr>
            </w:pPr>
          </w:p>
        </w:tc>
      </w:tr>
      <w:tr w:rsidR="0057447D" w:rsidTr="00D80294">
        <w:trPr>
          <w:trHeight w:hRule="exact" w:val="454"/>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、局机关</w:t>
            </w:r>
          </w:p>
        </w:tc>
        <w:tc>
          <w:tcPr>
            <w:tcW w:w="1080" w:type="dxa"/>
            <w:tcBorders>
              <w:righ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20.03</w:t>
            </w:r>
          </w:p>
        </w:tc>
        <w:tc>
          <w:tcPr>
            <w:tcW w:w="2508" w:type="dxa"/>
            <w:gridSpan w:val="3"/>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20.03</w:t>
            </w:r>
          </w:p>
        </w:tc>
        <w:tc>
          <w:tcPr>
            <w:tcW w:w="3573" w:type="dxa"/>
            <w:gridSpan w:val="5"/>
            <w:vAlign w:val="center"/>
          </w:tcPr>
          <w:p w:rsidR="0057447D" w:rsidRDefault="0057447D">
            <w:pPr>
              <w:autoSpaceDN w:val="0"/>
              <w:spacing w:line="320" w:lineRule="exact"/>
              <w:jc w:val="center"/>
              <w:textAlignment w:val="center"/>
              <w:rPr>
                <w:rFonts w:eastAsia="仿宋_GB2312" w:cs="仿宋_GB2312"/>
                <w:sz w:val="24"/>
              </w:rPr>
            </w:pPr>
          </w:p>
        </w:tc>
        <w:tc>
          <w:tcPr>
            <w:tcW w:w="941" w:type="dxa"/>
            <w:gridSpan w:val="2"/>
            <w:vAlign w:val="center"/>
          </w:tcPr>
          <w:p w:rsidR="0057447D" w:rsidRDefault="0057447D">
            <w:pPr>
              <w:autoSpaceDN w:val="0"/>
              <w:spacing w:line="320" w:lineRule="exact"/>
              <w:jc w:val="center"/>
              <w:textAlignment w:val="center"/>
              <w:rPr>
                <w:rFonts w:eastAsia="仿宋_GB2312" w:cs="仿宋_GB2312"/>
                <w:sz w:val="24"/>
              </w:rPr>
            </w:pPr>
          </w:p>
        </w:tc>
      </w:tr>
      <w:tr w:rsidR="0057447D" w:rsidTr="00D80294">
        <w:trPr>
          <w:trHeight w:hRule="exact" w:val="454"/>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080" w:type="dxa"/>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2508" w:type="dxa"/>
            <w:gridSpan w:val="3"/>
            <w:tcBorders>
              <w:lef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3573" w:type="dxa"/>
            <w:gridSpan w:val="5"/>
            <w:vAlign w:val="center"/>
          </w:tcPr>
          <w:p w:rsidR="0057447D" w:rsidRDefault="0057447D">
            <w:pPr>
              <w:autoSpaceDN w:val="0"/>
              <w:spacing w:line="320" w:lineRule="exact"/>
              <w:jc w:val="center"/>
              <w:textAlignment w:val="center"/>
              <w:rPr>
                <w:rFonts w:eastAsia="仿宋_GB2312" w:cs="仿宋_GB2312"/>
                <w:sz w:val="24"/>
              </w:rPr>
            </w:pPr>
          </w:p>
        </w:tc>
        <w:tc>
          <w:tcPr>
            <w:tcW w:w="941" w:type="dxa"/>
            <w:gridSpan w:val="2"/>
            <w:vAlign w:val="center"/>
          </w:tcPr>
          <w:p w:rsidR="0057447D" w:rsidRDefault="0057447D">
            <w:pPr>
              <w:autoSpaceDN w:val="0"/>
              <w:spacing w:line="320" w:lineRule="exact"/>
              <w:jc w:val="center"/>
              <w:textAlignment w:val="center"/>
              <w:rPr>
                <w:rFonts w:eastAsia="仿宋_GB2312" w:cs="仿宋_GB2312"/>
                <w:sz w:val="24"/>
              </w:rPr>
            </w:pPr>
          </w:p>
        </w:tc>
      </w:tr>
      <w:tr w:rsidR="0057447D" w:rsidTr="00D80294">
        <w:trPr>
          <w:trHeight w:hRule="exact" w:val="454"/>
          <w:jc w:val="center"/>
        </w:trPr>
        <w:tc>
          <w:tcPr>
            <w:tcW w:w="1698" w:type="dxa"/>
            <w:gridSpan w:val="2"/>
            <w:vAlign w:val="center"/>
          </w:tcPr>
          <w:p w:rsidR="0057447D" w:rsidRDefault="007A4AFA">
            <w:pPr>
              <w:spacing w:line="320" w:lineRule="exact"/>
              <w:jc w:val="lef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080" w:type="dxa"/>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2508" w:type="dxa"/>
            <w:gridSpan w:val="3"/>
            <w:tcBorders>
              <w:lef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3573" w:type="dxa"/>
            <w:gridSpan w:val="5"/>
            <w:vAlign w:val="center"/>
          </w:tcPr>
          <w:p w:rsidR="0057447D" w:rsidRDefault="0057447D">
            <w:pPr>
              <w:autoSpaceDN w:val="0"/>
              <w:spacing w:line="320" w:lineRule="exact"/>
              <w:jc w:val="center"/>
              <w:textAlignment w:val="center"/>
              <w:rPr>
                <w:rFonts w:eastAsia="仿宋_GB2312" w:cs="仿宋_GB2312"/>
                <w:sz w:val="24"/>
              </w:rPr>
            </w:pPr>
          </w:p>
        </w:tc>
        <w:tc>
          <w:tcPr>
            <w:tcW w:w="941" w:type="dxa"/>
            <w:gridSpan w:val="2"/>
            <w:vAlign w:val="center"/>
          </w:tcPr>
          <w:p w:rsidR="0057447D" w:rsidRDefault="0057447D">
            <w:pPr>
              <w:autoSpaceDN w:val="0"/>
              <w:spacing w:line="320" w:lineRule="exact"/>
              <w:jc w:val="center"/>
              <w:textAlignment w:val="center"/>
              <w:rPr>
                <w:rFonts w:eastAsia="仿宋_GB2312" w:cs="仿宋_GB2312"/>
                <w:sz w:val="24"/>
              </w:rPr>
            </w:pPr>
          </w:p>
        </w:tc>
      </w:tr>
      <w:tr w:rsidR="0057447D">
        <w:trPr>
          <w:trHeight w:val="502"/>
          <w:jc w:val="center"/>
        </w:trPr>
        <w:tc>
          <w:tcPr>
            <w:tcW w:w="9800" w:type="dxa"/>
            <w:gridSpan w:val="13"/>
            <w:vAlign w:val="center"/>
          </w:tcPr>
          <w:p w:rsidR="0057447D" w:rsidRDefault="007A4AFA">
            <w:pPr>
              <w:autoSpaceDN w:val="0"/>
              <w:spacing w:line="320" w:lineRule="exact"/>
              <w:jc w:val="center"/>
              <w:textAlignment w:val="center"/>
              <w:rPr>
                <w:rFonts w:eastAsia="仿宋_GB2312" w:cs="仿宋_GB2312"/>
                <w:sz w:val="24"/>
              </w:rPr>
            </w:pPr>
            <w:r>
              <w:rPr>
                <w:rFonts w:eastAsia="黑体" w:cs="黑体" w:hint="eastAsia"/>
                <w:sz w:val="28"/>
                <w:szCs w:val="28"/>
              </w:rPr>
              <w:t>三、部门（单位）整体支出绩效自评情况</w:t>
            </w:r>
          </w:p>
        </w:tc>
      </w:tr>
      <w:tr w:rsidR="0057447D" w:rsidTr="00D80294">
        <w:trPr>
          <w:trHeight w:val="387"/>
          <w:jc w:val="center"/>
        </w:trPr>
        <w:tc>
          <w:tcPr>
            <w:tcW w:w="1578" w:type="dxa"/>
            <w:vMerge w:val="restart"/>
            <w:vAlign w:val="bottom"/>
          </w:tcPr>
          <w:p w:rsidR="0057447D" w:rsidRDefault="0057447D">
            <w:pPr>
              <w:autoSpaceDN w:val="0"/>
              <w:spacing w:line="320" w:lineRule="exact"/>
              <w:jc w:val="center"/>
              <w:textAlignment w:val="center"/>
              <w:rPr>
                <w:rFonts w:ascii="Times New Roman" w:eastAsia="仿宋_GB2312" w:hAnsi="Times New Roman"/>
                <w:sz w:val="24"/>
              </w:rPr>
            </w:pPr>
          </w:p>
          <w:p w:rsidR="0057447D" w:rsidRDefault="0057447D">
            <w:pPr>
              <w:autoSpaceDN w:val="0"/>
              <w:spacing w:line="320" w:lineRule="exact"/>
              <w:jc w:val="center"/>
              <w:textAlignment w:val="center"/>
              <w:rPr>
                <w:rFonts w:ascii="Times New Roman" w:eastAsia="仿宋_GB2312" w:hAnsi="Times New Roman"/>
                <w:spacing w:val="-6"/>
                <w:sz w:val="24"/>
              </w:rPr>
            </w:pPr>
          </w:p>
          <w:p w:rsidR="0057447D" w:rsidRDefault="007A4AFA">
            <w:pPr>
              <w:autoSpaceDN w:val="0"/>
              <w:spacing w:line="320" w:lineRule="exact"/>
              <w:jc w:val="center"/>
              <w:textAlignment w:val="center"/>
              <w:rPr>
                <w:rFonts w:ascii="Times New Roman" w:eastAsia="仿宋_GB2312" w:hAnsi="Times New Roman"/>
                <w:spacing w:val="-6"/>
                <w:sz w:val="24"/>
              </w:rPr>
            </w:pPr>
            <w:r>
              <w:rPr>
                <w:rFonts w:ascii="Times New Roman" w:eastAsia="仿宋_GB2312" w:hAnsi="Times New Roman" w:hint="eastAsia"/>
                <w:spacing w:val="-6"/>
                <w:sz w:val="24"/>
              </w:rPr>
              <w:t>整体支出绩效定性目标及实施计划完成情况</w:t>
            </w:r>
          </w:p>
          <w:p w:rsidR="0057447D" w:rsidRDefault="0057447D">
            <w:pPr>
              <w:pStyle w:val="a5"/>
              <w:jc w:val="center"/>
            </w:pPr>
          </w:p>
          <w:p w:rsidR="0057447D" w:rsidRDefault="0057447D">
            <w:pPr>
              <w:pStyle w:val="5"/>
              <w:jc w:val="center"/>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Pr>
              <w:jc w:val="center"/>
            </w:pPr>
          </w:p>
          <w:p w:rsidR="0057447D" w:rsidRDefault="007A4AFA">
            <w:pPr>
              <w:autoSpaceDN w:val="0"/>
              <w:spacing w:line="320" w:lineRule="exact"/>
              <w:jc w:val="center"/>
              <w:textAlignment w:val="center"/>
              <w:rPr>
                <w:rFonts w:ascii="Times New Roman" w:eastAsia="仿宋_GB2312" w:hAnsi="Times New Roman"/>
                <w:spacing w:val="-6"/>
                <w:sz w:val="24"/>
              </w:rPr>
            </w:pPr>
            <w:r>
              <w:rPr>
                <w:rFonts w:ascii="Times New Roman" w:eastAsia="仿宋_GB2312" w:hAnsi="Times New Roman" w:hint="eastAsia"/>
                <w:spacing w:val="-6"/>
                <w:sz w:val="24"/>
              </w:rPr>
              <w:t>整体支出绩效定性目标及实施计划完成情况</w:t>
            </w:r>
          </w:p>
          <w:p w:rsidR="0057447D" w:rsidRDefault="0057447D">
            <w:pPr>
              <w:pStyle w:val="a5"/>
              <w:jc w:val="center"/>
            </w:pPr>
          </w:p>
          <w:p w:rsidR="0057447D" w:rsidRDefault="0057447D">
            <w:pPr>
              <w:pStyle w:val="5"/>
              <w:jc w:val="center"/>
            </w:pPr>
          </w:p>
          <w:p w:rsidR="0057447D" w:rsidRDefault="0057447D">
            <w:pPr>
              <w:jc w:val="center"/>
            </w:pPr>
          </w:p>
          <w:p w:rsidR="0057447D" w:rsidRDefault="0057447D">
            <w:pPr>
              <w:pStyle w:val="a5"/>
              <w:jc w:val="center"/>
            </w:pPr>
          </w:p>
        </w:tc>
        <w:tc>
          <w:tcPr>
            <w:tcW w:w="3708" w:type="dxa"/>
            <w:gridSpan w:val="5"/>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lastRenderedPageBreak/>
              <w:t>预期目标</w:t>
            </w:r>
          </w:p>
        </w:tc>
        <w:tc>
          <w:tcPr>
            <w:tcW w:w="4514" w:type="dxa"/>
            <w:gridSpan w:val="7"/>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实际完成</w:t>
            </w:r>
          </w:p>
        </w:tc>
      </w:tr>
      <w:tr w:rsidR="0057447D" w:rsidTr="00D80294">
        <w:trPr>
          <w:trHeight w:val="1027"/>
          <w:jc w:val="center"/>
        </w:trPr>
        <w:tc>
          <w:tcPr>
            <w:tcW w:w="1578" w:type="dxa"/>
            <w:vMerge/>
            <w:vAlign w:val="center"/>
          </w:tcPr>
          <w:p w:rsidR="0057447D" w:rsidRDefault="0057447D">
            <w:pPr>
              <w:spacing w:line="320" w:lineRule="exact"/>
              <w:rPr>
                <w:rFonts w:eastAsia="仿宋_GB2312" w:cs="仿宋_GB2312"/>
                <w:sz w:val="24"/>
              </w:rPr>
            </w:pPr>
          </w:p>
        </w:tc>
        <w:tc>
          <w:tcPr>
            <w:tcW w:w="3708" w:type="dxa"/>
            <w:gridSpan w:val="5"/>
            <w:vAlign w:val="center"/>
          </w:tcPr>
          <w:p w:rsidR="0057447D" w:rsidRDefault="0057447D">
            <w:pPr>
              <w:autoSpaceDN w:val="0"/>
              <w:spacing w:line="320" w:lineRule="exact"/>
              <w:jc w:val="left"/>
              <w:textAlignment w:val="center"/>
              <w:rPr>
                <w:rFonts w:ascii="Times New Roman" w:eastAsia="仿宋_GB2312" w:hAnsi="Times New Roman"/>
                <w:sz w:val="24"/>
              </w:rPr>
            </w:pPr>
          </w:p>
          <w:p w:rsidR="0057447D" w:rsidRDefault="007A4AFA">
            <w:pPr>
              <w:autoSpaceDN w:val="0"/>
              <w:spacing w:line="320" w:lineRule="exact"/>
              <w:jc w:val="left"/>
              <w:textAlignment w:val="center"/>
              <w:rPr>
                <w:rFonts w:ascii="Times New Roman" w:eastAsia="仿宋_GB2312" w:hAnsi="Times New Roman"/>
                <w:sz w:val="24"/>
              </w:rPr>
            </w:pPr>
            <w:r>
              <w:rPr>
                <w:rFonts w:ascii="Times New Roman" w:eastAsia="仿宋_GB2312" w:hAnsi="Times New Roman"/>
                <w:sz w:val="24"/>
              </w:rPr>
              <w:t>目标</w:t>
            </w:r>
            <w:r>
              <w:rPr>
                <w:rFonts w:ascii="Times New Roman" w:eastAsia="仿宋_GB2312" w:hAnsi="Times New Roman"/>
                <w:sz w:val="24"/>
              </w:rPr>
              <w:t>1</w:t>
            </w:r>
            <w:r>
              <w:rPr>
                <w:rFonts w:ascii="Times New Roman" w:eastAsia="仿宋_GB2312" w:hAnsi="Times New Roman"/>
                <w:sz w:val="24"/>
              </w:rPr>
              <w:t>：实现应保尽保，做到基本医保依法覆盖全民</w:t>
            </w:r>
            <w:r>
              <w:rPr>
                <w:rFonts w:ascii="Times New Roman" w:eastAsia="仿宋_GB2312" w:hAnsi="Times New Roman"/>
                <w:sz w:val="24"/>
              </w:rPr>
              <w:t>,</w:t>
            </w:r>
            <w:r>
              <w:rPr>
                <w:rFonts w:ascii="Times New Roman" w:eastAsia="仿宋_GB2312" w:hAnsi="Times New Roman"/>
                <w:sz w:val="24"/>
              </w:rPr>
              <w:t>城乡居民参保率达到</w:t>
            </w:r>
            <w:r>
              <w:rPr>
                <w:rFonts w:ascii="Times New Roman" w:eastAsia="仿宋_GB2312" w:hAnsi="Times New Roman"/>
                <w:sz w:val="24"/>
              </w:rPr>
              <w:t>95%</w:t>
            </w:r>
            <w:r>
              <w:rPr>
                <w:rFonts w:ascii="Times New Roman" w:eastAsia="仿宋_GB2312" w:hAnsi="Times New Roman"/>
                <w:sz w:val="24"/>
              </w:rPr>
              <w:t>以上，贫困人口参保率达</w:t>
            </w:r>
            <w:r>
              <w:rPr>
                <w:rFonts w:ascii="Times New Roman" w:eastAsia="仿宋_GB2312" w:hAnsi="Times New Roman"/>
                <w:sz w:val="24"/>
              </w:rPr>
              <w:t>100%</w:t>
            </w:r>
            <w:r>
              <w:rPr>
                <w:rFonts w:ascii="Times New Roman" w:eastAsia="仿宋_GB2312" w:hAnsi="Times New Roman"/>
                <w:sz w:val="24"/>
              </w:rPr>
              <w:t>。</w:t>
            </w:r>
          </w:p>
          <w:p w:rsidR="0057447D" w:rsidRDefault="0057447D">
            <w:pPr>
              <w:pStyle w:val="a5"/>
            </w:pPr>
          </w:p>
          <w:p w:rsidR="0057447D" w:rsidRDefault="0057447D">
            <w:pPr>
              <w:pStyle w:val="5"/>
            </w:pPr>
          </w:p>
          <w:p w:rsidR="0057447D" w:rsidRDefault="007A4AFA">
            <w:pPr>
              <w:autoSpaceDN w:val="0"/>
              <w:spacing w:line="320" w:lineRule="exact"/>
              <w:jc w:val="left"/>
              <w:textAlignment w:val="center"/>
              <w:rPr>
                <w:rFonts w:ascii="Times New Roman" w:eastAsia="仿宋_GB2312" w:hAnsi="Times New Roman"/>
                <w:sz w:val="24"/>
              </w:rPr>
            </w:pPr>
            <w:r>
              <w:rPr>
                <w:rFonts w:ascii="Times New Roman" w:eastAsia="仿宋_GB2312" w:hAnsi="Times New Roman"/>
                <w:sz w:val="24"/>
              </w:rPr>
              <w:t>目标</w:t>
            </w:r>
            <w:r>
              <w:rPr>
                <w:rFonts w:ascii="Times New Roman" w:eastAsia="仿宋_GB2312" w:hAnsi="Times New Roman"/>
                <w:sz w:val="24"/>
              </w:rPr>
              <w:t>2</w:t>
            </w:r>
            <w:r>
              <w:rPr>
                <w:rFonts w:ascii="Times New Roman" w:eastAsia="仿宋_GB2312" w:hAnsi="Times New Roman"/>
                <w:sz w:val="24"/>
              </w:rPr>
              <w:t>：落细落地待遇保障政策</w:t>
            </w:r>
            <w:r>
              <w:rPr>
                <w:rFonts w:ascii="Times New Roman" w:eastAsia="仿宋_GB2312" w:hAnsi="Times New Roman"/>
                <w:sz w:val="24"/>
              </w:rPr>
              <w:t>,</w:t>
            </w:r>
            <w:r>
              <w:rPr>
                <w:rFonts w:ascii="Times New Roman" w:eastAsia="仿宋_GB2312" w:hAnsi="Times New Roman"/>
                <w:sz w:val="24"/>
              </w:rPr>
              <w:t>规范城乡居民门诊统筹、</w:t>
            </w:r>
            <w:r>
              <w:rPr>
                <w:rFonts w:ascii="Times New Roman" w:eastAsia="仿宋_GB2312" w:hAnsi="Times New Roman"/>
                <w:sz w:val="24"/>
              </w:rPr>
              <w:t>“</w:t>
            </w:r>
            <w:r>
              <w:rPr>
                <w:rFonts w:ascii="Times New Roman" w:eastAsia="仿宋_GB2312" w:hAnsi="Times New Roman"/>
                <w:sz w:val="24"/>
              </w:rPr>
              <w:t>两病</w:t>
            </w:r>
            <w:r>
              <w:rPr>
                <w:rFonts w:ascii="Times New Roman" w:eastAsia="仿宋_GB2312" w:hAnsi="Times New Roman"/>
                <w:sz w:val="24"/>
              </w:rPr>
              <w:t>”</w:t>
            </w:r>
            <w:r>
              <w:rPr>
                <w:rFonts w:ascii="Times New Roman" w:eastAsia="仿宋_GB2312" w:hAnsi="Times New Roman"/>
                <w:sz w:val="24"/>
              </w:rPr>
              <w:t>用药经办流程。</w:t>
            </w:r>
          </w:p>
          <w:p w:rsidR="0057447D" w:rsidRDefault="007A4AFA">
            <w:pPr>
              <w:autoSpaceDN w:val="0"/>
              <w:spacing w:line="320" w:lineRule="exact"/>
              <w:jc w:val="left"/>
              <w:textAlignment w:val="center"/>
              <w:rPr>
                <w:rFonts w:ascii="Times New Roman" w:eastAsia="仿宋_GB2312" w:hAnsi="Times New Roman"/>
                <w:sz w:val="24"/>
              </w:rPr>
            </w:pPr>
            <w:r>
              <w:rPr>
                <w:rFonts w:ascii="Times New Roman" w:eastAsia="仿宋_GB2312" w:hAnsi="Times New Roman"/>
                <w:sz w:val="24"/>
              </w:rPr>
              <w:t>目标</w:t>
            </w:r>
            <w:r>
              <w:rPr>
                <w:rFonts w:ascii="Times New Roman" w:eastAsia="仿宋_GB2312" w:hAnsi="Times New Roman"/>
                <w:sz w:val="24"/>
              </w:rPr>
              <w:t>3</w:t>
            </w:r>
            <w:r>
              <w:rPr>
                <w:rFonts w:ascii="Times New Roman" w:eastAsia="仿宋_GB2312" w:hAnsi="Times New Roman"/>
                <w:sz w:val="24"/>
              </w:rPr>
              <w:t>：巩固脱贫质量，确保贫困人口参保率达</w:t>
            </w:r>
            <w:r>
              <w:rPr>
                <w:rFonts w:ascii="Times New Roman" w:eastAsia="仿宋_GB2312" w:hAnsi="Times New Roman"/>
                <w:sz w:val="24"/>
              </w:rPr>
              <w:t>100%,</w:t>
            </w:r>
            <w:r>
              <w:rPr>
                <w:rFonts w:ascii="Times New Roman" w:eastAsia="仿宋_GB2312" w:hAnsi="Times New Roman"/>
                <w:sz w:val="24"/>
              </w:rPr>
              <w:t>确保贫困人口住院医疗费用</w:t>
            </w:r>
            <w:r>
              <w:rPr>
                <w:rFonts w:ascii="Times New Roman" w:eastAsia="仿宋_GB2312" w:hAnsi="Times New Roman"/>
                <w:sz w:val="24"/>
              </w:rPr>
              <w:t>“</w:t>
            </w:r>
            <w:r>
              <w:rPr>
                <w:rFonts w:ascii="Times New Roman" w:eastAsia="仿宋_GB2312" w:hAnsi="Times New Roman"/>
                <w:sz w:val="24"/>
              </w:rPr>
              <w:t>一站式</w:t>
            </w:r>
            <w:r>
              <w:rPr>
                <w:rFonts w:ascii="Times New Roman" w:eastAsia="仿宋_GB2312" w:hAnsi="Times New Roman"/>
                <w:sz w:val="24"/>
              </w:rPr>
              <w:t>”</w:t>
            </w:r>
            <w:r>
              <w:rPr>
                <w:rFonts w:ascii="Times New Roman" w:eastAsia="仿宋_GB2312" w:hAnsi="Times New Roman"/>
                <w:sz w:val="24"/>
              </w:rPr>
              <w:t>结算，资金到位率</w:t>
            </w:r>
            <w:r>
              <w:rPr>
                <w:rFonts w:ascii="Times New Roman" w:eastAsia="仿宋_GB2312" w:hAnsi="Times New Roman"/>
                <w:sz w:val="24"/>
              </w:rPr>
              <w:t>100%,</w:t>
            </w:r>
            <w:r>
              <w:rPr>
                <w:rFonts w:ascii="Times New Roman" w:eastAsia="仿宋_GB2312" w:hAnsi="Times New Roman"/>
                <w:sz w:val="24"/>
              </w:rPr>
              <w:t>确保贫困人口县域内住院医疗费用综合实际报销比例达</w:t>
            </w:r>
            <w:r>
              <w:rPr>
                <w:rFonts w:ascii="Times New Roman" w:eastAsia="仿宋_GB2312" w:hAnsi="Times New Roman"/>
                <w:sz w:val="24"/>
              </w:rPr>
              <w:t>85%</w:t>
            </w:r>
            <w:r>
              <w:rPr>
                <w:rFonts w:ascii="Times New Roman" w:eastAsia="仿宋_GB2312" w:hAnsi="Times New Roman"/>
                <w:sz w:val="24"/>
              </w:rPr>
              <w:t>以上，不超过</w:t>
            </w:r>
            <w:r>
              <w:rPr>
                <w:rFonts w:ascii="Times New Roman" w:eastAsia="仿宋_GB2312" w:hAnsi="Times New Roman"/>
                <w:sz w:val="24"/>
              </w:rPr>
              <w:t>90%</w:t>
            </w:r>
            <w:r>
              <w:rPr>
                <w:rFonts w:ascii="Times New Roman" w:eastAsia="仿宋_GB2312" w:hAnsi="Times New Roman"/>
                <w:sz w:val="24"/>
              </w:rPr>
              <w:t>。</w:t>
            </w:r>
          </w:p>
          <w:p w:rsidR="0057447D" w:rsidRDefault="007A4AFA">
            <w:pPr>
              <w:autoSpaceDN w:val="0"/>
              <w:spacing w:line="320" w:lineRule="exact"/>
              <w:jc w:val="left"/>
              <w:textAlignment w:val="center"/>
              <w:rPr>
                <w:rFonts w:ascii="Times New Roman" w:eastAsia="仿宋_GB2312" w:hAnsi="Times New Roman"/>
                <w:sz w:val="24"/>
              </w:rPr>
            </w:pPr>
            <w:r>
              <w:rPr>
                <w:rFonts w:ascii="Times New Roman" w:eastAsia="仿宋_GB2312" w:hAnsi="Times New Roman"/>
                <w:sz w:val="24"/>
              </w:rPr>
              <w:t>目标</w:t>
            </w:r>
            <w:r>
              <w:rPr>
                <w:rFonts w:ascii="Times New Roman" w:eastAsia="仿宋_GB2312" w:hAnsi="Times New Roman"/>
                <w:sz w:val="24"/>
              </w:rPr>
              <w:t>4</w:t>
            </w:r>
            <w:r>
              <w:rPr>
                <w:rFonts w:ascii="Times New Roman" w:eastAsia="仿宋_GB2312" w:hAnsi="Times New Roman"/>
                <w:sz w:val="24"/>
              </w:rPr>
              <w:t>：深化医保体制改革，按省要求全面启动基本医疗保险和生育保险州级统筹。</w:t>
            </w:r>
          </w:p>
          <w:p w:rsidR="0057447D" w:rsidRDefault="007A4AFA">
            <w:pPr>
              <w:autoSpaceDN w:val="0"/>
              <w:spacing w:line="320" w:lineRule="exact"/>
              <w:jc w:val="left"/>
              <w:textAlignment w:val="center"/>
              <w:rPr>
                <w:rFonts w:ascii="Times New Roman" w:eastAsia="仿宋_GB2312" w:hAnsi="Times New Roman"/>
                <w:sz w:val="24"/>
              </w:rPr>
            </w:pPr>
            <w:r>
              <w:rPr>
                <w:rFonts w:ascii="Times New Roman" w:eastAsia="仿宋_GB2312" w:hAnsi="Times New Roman"/>
                <w:sz w:val="24"/>
              </w:rPr>
              <w:t>目标</w:t>
            </w:r>
            <w:r>
              <w:rPr>
                <w:rFonts w:ascii="Times New Roman" w:eastAsia="仿宋_GB2312" w:hAnsi="Times New Roman"/>
                <w:sz w:val="24"/>
              </w:rPr>
              <w:t>5</w:t>
            </w:r>
            <w:r>
              <w:rPr>
                <w:rFonts w:ascii="Times New Roman" w:eastAsia="仿宋_GB2312" w:hAnsi="Times New Roman"/>
                <w:sz w:val="24"/>
              </w:rPr>
              <w:t>：深化药品耗材改革，治理药品耗材虚高问题</w:t>
            </w:r>
            <w:r>
              <w:rPr>
                <w:rFonts w:ascii="Times New Roman" w:eastAsia="仿宋_GB2312" w:hAnsi="Times New Roman"/>
                <w:sz w:val="24"/>
              </w:rPr>
              <w:t>,</w:t>
            </w:r>
            <w:r>
              <w:rPr>
                <w:rFonts w:ascii="Times New Roman" w:eastAsia="仿宋_GB2312" w:hAnsi="Times New Roman"/>
                <w:sz w:val="24"/>
              </w:rPr>
              <w:t>继续巩固和完善三明药品（耗材）联盟，启动低值耗材联合限价采购。</w:t>
            </w:r>
          </w:p>
          <w:p w:rsidR="0057447D" w:rsidRDefault="007A4AFA">
            <w:pPr>
              <w:autoSpaceDN w:val="0"/>
              <w:spacing w:line="320" w:lineRule="exact"/>
              <w:jc w:val="left"/>
              <w:textAlignment w:val="center"/>
              <w:rPr>
                <w:rFonts w:ascii="Times New Roman" w:eastAsia="仿宋_GB2312" w:hAnsi="Times New Roman"/>
                <w:sz w:val="24"/>
              </w:rPr>
            </w:pPr>
            <w:r>
              <w:rPr>
                <w:rFonts w:ascii="Times New Roman" w:eastAsia="仿宋_GB2312" w:hAnsi="Times New Roman"/>
                <w:sz w:val="24"/>
              </w:rPr>
              <w:t>目标</w:t>
            </w:r>
            <w:r>
              <w:rPr>
                <w:rFonts w:ascii="Times New Roman" w:eastAsia="仿宋_GB2312" w:hAnsi="Times New Roman"/>
                <w:sz w:val="24"/>
              </w:rPr>
              <w:t>6</w:t>
            </w:r>
            <w:r>
              <w:rPr>
                <w:rFonts w:ascii="Times New Roman" w:eastAsia="仿宋_GB2312" w:hAnsi="Times New Roman"/>
                <w:sz w:val="24"/>
              </w:rPr>
              <w:t>：推进医保支付方式改革，发挥医保基金最大效益</w:t>
            </w:r>
            <w:r>
              <w:rPr>
                <w:rFonts w:ascii="Times New Roman" w:eastAsia="仿宋_GB2312" w:hAnsi="Times New Roman"/>
                <w:sz w:val="24"/>
              </w:rPr>
              <w:t>,</w:t>
            </w:r>
            <w:r>
              <w:rPr>
                <w:rFonts w:ascii="Times New Roman" w:eastAsia="仿宋_GB2312" w:hAnsi="Times New Roman"/>
                <w:sz w:val="24"/>
              </w:rPr>
              <w:t>探索按协议约定向医疗机构预付部分医保资金，缓解其资金运行压力。</w:t>
            </w:r>
          </w:p>
          <w:p w:rsidR="0057447D" w:rsidRDefault="007A4AFA">
            <w:pPr>
              <w:autoSpaceDN w:val="0"/>
              <w:spacing w:line="320" w:lineRule="exact"/>
              <w:jc w:val="left"/>
              <w:textAlignment w:val="center"/>
              <w:rPr>
                <w:rFonts w:ascii="Times New Roman" w:eastAsia="仿宋_GB2312" w:hAnsi="Times New Roman"/>
                <w:sz w:val="24"/>
              </w:rPr>
            </w:pPr>
            <w:r>
              <w:rPr>
                <w:rFonts w:ascii="Times New Roman" w:eastAsia="仿宋_GB2312" w:hAnsi="Times New Roman"/>
                <w:sz w:val="24"/>
              </w:rPr>
              <w:t>目标</w:t>
            </w:r>
            <w:r>
              <w:rPr>
                <w:rFonts w:ascii="Times New Roman" w:eastAsia="仿宋_GB2312" w:hAnsi="Times New Roman"/>
                <w:sz w:val="24"/>
              </w:rPr>
              <w:t>7</w:t>
            </w:r>
            <w:r>
              <w:rPr>
                <w:rFonts w:ascii="Times New Roman" w:eastAsia="仿宋_GB2312" w:hAnsi="Times New Roman"/>
                <w:sz w:val="24"/>
              </w:rPr>
              <w:t>：完善重大疫情医疗救治费用保障机制</w:t>
            </w:r>
            <w:r>
              <w:rPr>
                <w:rFonts w:ascii="Times New Roman" w:eastAsia="仿宋_GB2312" w:hAnsi="Times New Roman"/>
                <w:sz w:val="24"/>
              </w:rPr>
              <w:t>,</w:t>
            </w:r>
            <w:r>
              <w:rPr>
                <w:rFonts w:ascii="Times New Roman" w:eastAsia="仿宋_GB2312" w:hAnsi="Times New Roman"/>
                <w:sz w:val="24"/>
              </w:rPr>
              <w:t>在突发疫情等紧急情况时，确保医疗机构先救治、后收费</w:t>
            </w:r>
            <w:r>
              <w:rPr>
                <w:rFonts w:ascii="Times New Roman" w:eastAsia="仿宋_GB2312" w:hAnsi="Times New Roman"/>
                <w:sz w:val="24"/>
              </w:rPr>
              <w:t>,</w:t>
            </w:r>
            <w:r>
              <w:rPr>
                <w:rFonts w:ascii="Times New Roman" w:eastAsia="仿宋_GB2312" w:hAnsi="Times New Roman"/>
                <w:sz w:val="24"/>
              </w:rPr>
              <w:t>健全重大疫情医疗救治医保支付政策，完善异地就医直接结算制度，确保患者不因费用问题影响就医。</w:t>
            </w:r>
          </w:p>
          <w:p w:rsidR="0057447D" w:rsidRDefault="007A4AFA">
            <w:pPr>
              <w:autoSpaceDN w:val="0"/>
              <w:spacing w:line="320" w:lineRule="exact"/>
              <w:jc w:val="left"/>
              <w:textAlignment w:val="center"/>
              <w:rPr>
                <w:rFonts w:ascii="Times New Roman" w:eastAsia="仿宋_GB2312" w:hAnsi="Times New Roman"/>
                <w:sz w:val="24"/>
              </w:rPr>
            </w:pPr>
            <w:r>
              <w:rPr>
                <w:rFonts w:ascii="Times New Roman" w:eastAsia="仿宋_GB2312" w:hAnsi="Times New Roman"/>
                <w:sz w:val="24"/>
              </w:rPr>
              <w:t>目标</w:t>
            </w:r>
            <w:r>
              <w:rPr>
                <w:rFonts w:ascii="Times New Roman" w:eastAsia="仿宋_GB2312" w:hAnsi="Times New Roman"/>
                <w:sz w:val="24"/>
              </w:rPr>
              <w:t>8</w:t>
            </w:r>
            <w:r>
              <w:rPr>
                <w:rFonts w:ascii="Times New Roman" w:eastAsia="仿宋_GB2312" w:hAnsi="Times New Roman"/>
                <w:sz w:val="24"/>
              </w:rPr>
              <w:t>：加强基金监管，保障医保基金安全</w:t>
            </w:r>
            <w:r>
              <w:rPr>
                <w:rFonts w:ascii="Times New Roman" w:eastAsia="仿宋_GB2312" w:hAnsi="Times New Roman"/>
                <w:sz w:val="24"/>
              </w:rPr>
              <w:t>,</w:t>
            </w:r>
            <w:r>
              <w:rPr>
                <w:rFonts w:ascii="Times New Roman" w:eastAsia="仿宋_GB2312" w:hAnsi="Times New Roman"/>
                <w:sz w:val="24"/>
              </w:rPr>
              <w:t>坚决查处医疗机构内外勾结欺诈骗保行为，建立和强化长效机制。</w:t>
            </w:r>
          </w:p>
          <w:p w:rsidR="0057447D" w:rsidRDefault="007A4AFA">
            <w:pPr>
              <w:autoSpaceDN w:val="0"/>
              <w:spacing w:line="320" w:lineRule="exact"/>
              <w:jc w:val="left"/>
              <w:textAlignment w:val="center"/>
              <w:rPr>
                <w:rFonts w:ascii="Times New Roman" w:eastAsia="仿宋_GB2312" w:hAnsi="Times New Roman"/>
                <w:sz w:val="24"/>
              </w:rPr>
            </w:pPr>
            <w:r>
              <w:rPr>
                <w:rFonts w:ascii="Times New Roman" w:eastAsia="仿宋_GB2312" w:hAnsi="Times New Roman"/>
                <w:sz w:val="24"/>
              </w:rPr>
              <w:t>目标</w:t>
            </w:r>
            <w:r>
              <w:rPr>
                <w:rFonts w:ascii="Times New Roman" w:eastAsia="仿宋_GB2312" w:hAnsi="Times New Roman"/>
                <w:sz w:val="24"/>
              </w:rPr>
              <w:t>9</w:t>
            </w:r>
            <w:r>
              <w:rPr>
                <w:rFonts w:ascii="Times New Roman" w:eastAsia="仿宋_GB2312" w:hAnsi="Times New Roman"/>
                <w:sz w:val="24"/>
              </w:rPr>
              <w:t>：深化放管服改革，优化医保经办服务。推进医保经办服务标准化规范化，实现医疗保障一站式服务、一窗口办理、一单制结算</w:t>
            </w:r>
            <w:r>
              <w:rPr>
                <w:rFonts w:ascii="Times New Roman" w:eastAsia="仿宋_GB2312" w:hAnsi="Times New Roman"/>
                <w:sz w:val="24"/>
              </w:rPr>
              <w:t>,</w:t>
            </w:r>
            <w:r>
              <w:rPr>
                <w:rFonts w:ascii="Times New Roman" w:eastAsia="仿宋_GB2312" w:hAnsi="Times New Roman"/>
                <w:sz w:val="24"/>
              </w:rPr>
              <w:t>加快推进服务事项网上办理，提高运行效率和服务质量。</w:t>
            </w:r>
          </w:p>
        </w:tc>
        <w:tc>
          <w:tcPr>
            <w:tcW w:w="4514" w:type="dxa"/>
            <w:gridSpan w:val="7"/>
            <w:vAlign w:val="bottom"/>
          </w:tcPr>
          <w:p w:rsidR="0057447D" w:rsidRDefault="007A4AFA">
            <w:pPr>
              <w:numPr>
                <w:ilvl w:val="0"/>
                <w:numId w:val="2"/>
              </w:numPr>
              <w:autoSpaceDN w:val="0"/>
              <w:spacing w:line="320" w:lineRule="exact"/>
              <w:jc w:val="left"/>
              <w:textAlignment w:val="center"/>
              <w:rPr>
                <w:rFonts w:ascii="Times New Roman" w:eastAsia="仿宋_GB2312" w:hAnsi="Times New Roman"/>
                <w:sz w:val="24"/>
              </w:rPr>
            </w:pPr>
            <w:r>
              <w:rPr>
                <w:rFonts w:ascii="Times New Roman" w:eastAsia="仿宋_GB2312" w:hAnsi="Times New Roman"/>
                <w:sz w:val="24"/>
              </w:rPr>
              <w:lastRenderedPageBreak/>
              <w:t>全州城乡居民应参保人数为</w:t>
            </w:r>
            <w:r>
              <w:rPr>
                <w:rFonts w:ascii="Times New Roman" w:eastAsia="仿宋_GB2312" w:hAnsi="Times New Roman"/>
                <w:sz w:val="24"/>
              </w:rPr>
              <w:t>2581674</w:t>
            </w:r>
            <w:r>
              <w:rPr>
                <w:rFonts w:ascii="Times New Roman" w:eastAsia="仿宋_GB2312" w:hAnsi="Times New Roman"/>
                <w:sz w:val="24"/>
              </w:rPr>
              <w:t>人，实际参保人数为</w:t>
            </w:r>
            <w:r>
              <w:rPr>
                <w:rFonts w:ascii="Times New Roman" w:eastAsia="仿宋_GB2312" w:hAnsi="Times New Roman"/>
                <w:sz w:val="24"/>
              </w:rPr>
              <w:t>2507569</w:t>
            </w:r>
            <w:r>
              <w:rPr>
                <w:rFonts w:ascii="Times New Roman" w:eastAsia="仿宋_GB2312" w:hAnsi="Times New Roman"/>
                <w:sz w:val="24"/>
              </w:rPr>
              <w:t>人，参保率</w:t>
            </w:r>
            <w:r>
              <w:rPr>
                <w:rFonts w:ascii="Times New Roman" w:eastAsia="仿宋_GB2312" w:hAnsi="Times New Roman"/>
                <w:sz w:val="24"/>
              </w:rPr>
              <w:t>97.13%</w:t>
            </w:r>
            <w:r>
              <w:rPr>
                <w:rFonts w:ascii="Times New Roman" w:eastAsia="仿宋_GB2312" w:hAnsi="Times New Roman"/>
                <w:sz w:val="24"/>
              </w:rPr>
              <w:t>。全州建档立卡贫困人口参保人数为</w:t>
            </w:r>
            <w:r>
              <w:rPr>
                <w:rFonts w:ascii="Times New Roman" w:eastAsia="仿宋_GB2312" w:hAnsi="Times New Roman"/>
                <w:sz w:val="24"/>
              </w:rPr>
              <w:t>656083</w:t>
            </w:r>
            <w:r>
              <w:rPr>
                <w:rFonts w:ascii="Times New Roman" w:eastAsia="仿宋_GB2312" w:hAnsi="Times New Roman"/>
                <w:sz w:val="24"/>
              </w:rPr>
              <w:t>人，参保率为</w:t>
            </w:r>
            <w:r>
              <w:rPr>
                <w:rFonts w:ascii="Times New Roman" w:eastAsia="仿宋_GB2312" w:hAnsi="Times New Roman"/>
                <w:sz w:val="24"/>
              </w:rPr>
              <w:t>100%</w:t>
            </w:r>
            <w:r>
              <w:rPr>
                <w:rFonts w:ascii="Times New Roman" w:eastAsia="仿宋_GB2312" w:hAnsi="Times New Roman"/>
                <w:sz w:val="24"/>
              </w:rPr>
              <w:t>。</w:t>
            </w:r>
          </w:p>
          <w:p w:rsidR="0057447D" w:rsidRDefault="0057447D">
            <w:pPr>
              <w:pStyle w:val="a5"/>
            </w:pPr>
          </w:p>
          <w:p w:rsidR="0057447D" w:rsidRDefault="0057447D">
            <w:pPr>
              <w:pStyle w:val="a5"/>
            </w:pPr>
          </w:p>
          <w:p w:rsidR="0057447D" w:rsidRDefault="007A4AFA">
            <w:pPr>
              <w:numPr>
                <w:ilvl w:val="0"/>
                <w:numId w:val="2"/>
              </w:numPr>
              <w:autoSpaceDN w:val="0"/>
              <w:spacing w:line="300" w:lineRule="exact"/>
              <w:jc w:val="left"/>
              <w:textAlignment w:val="center"/>
              <w:rPr>
                <w:rFonts w:ascii="Times New Roman" w:eastAsia="仿宋_GB2312" w:hAnsi="Times New Roman"/>
                <w:sz w:val="24"/>
              </w:rPr>
            </w:pPr>
            <w:r>
              <w:rPr>
                <w:rFonts w:ascii="Times New Roman" w:eastAsia="仿宋_GB2312" w:hAnsi="Times New Roman"/>
                <w:sz w:val="24"/>
              </w:rPr>
              <w:t>统一了全州医保经办服务流程。制定了</w:t>
            </w:r>
            <w:r>
              <w:rPr>
                <w:rFonts w:ascii="Times New Roman" w:eastAsia="仿宋_GB2312" w:hAnsi="Times New Roman"/>
                <w:sz w:val="24"/>
              </w:rPr>
              <w:lastRenderedPageBreak/>
              <w:t>全州统一的参保登记、基金征缴、待遇支付等工作流程，统一了社会办医纳入医保协议的条件及流程，统一了</w:t>
            </w:r>
            <w:r>
              <w:rPr>
                <w:rFonts w:ascii="Times New Roman" w:eastAsia="仿宋_GB2312" w:hAnsi="Times New Roman"/>
                <w:sz w:val="24"/>
              </w:rPr>
              <w:t>“</w:t>
            </w:r>
            <w:r>
              <w:rPr>
                <w:rFonts w:ascii="Times New Roman" w:eastAsia="仿宋_GB2312" w:hAnsi="Times New Roman"/>
                <w:sz w:val="24"/>
              </w:rPr>
              <w:t>两病</w:t>
            </w:r>
            <w:r>
              <w:rPr>
                <w:rFonts w:ascii="Times New Roman" w:eastAsia="仿宋_GB2312" w:hAnsi="Times New Roman"/>
                <w:sz w:val="24"/>
              </w:rPr>
              <w:t>”</w:t>
            </w:r>
            <w:r>
              <w:rPr>
                <w:rFonts w:ascii="Times New Roman" w:eastAsia="仿宋_GB2312" w:hAnsi="Times New Roman"/>
                <w:sz w:val="24"/>
              </w:rPr>
              <w:t>用药及特药报账流程。</w:t>
            </w:r>
          </w:p>
          <w:p w:rsidR="0057447D" w:rsidRDefault="007A4AFA">
            <w:pPr>
              <w:numPr>
                <w:ilvl w:val="0"/>
                <w:numId w:val="2"/>
              </w:numPr>
              <w:autoSpaceDN w:val="0"/>
              <w:spacing w:line="300" w:lineRule="exact"/>
              <w:jc w:val="left"/>
              <w:textAlignment w:val="center"/>
              <w:rPr>
                <w:rFonts w:ascii="Times New Roman" w:eastAsia="仿宋_GB2312" w:hAnsi="Times New Roman"/>
                <w:sz w:val="24"/>
              </w:rPr>
            </w:pPr>
            <w:r>
              <w:rPr>
                <w:rFonts w:ascii="Times New Roman" w:eastAsia="仿宋_GB2312" w:hAnsi="Times New Roman"/>
                <w:sz w:val="24"/>
              </w:rPr>
              <w:t>全州建档立卡贫困人口参保人数为</w:t>
            </w:r>
            <w:r>
              <w:rPr>
                <w:rFonts w:ascii="Times New Roman" w:eastAsia="仿宋_GB2312" w:hAnsi="Times New Roman"/>
                <w:sz w:val="24"/>
              </w:rPr>
              <w:t>656083</w:t>
            </w:r>
            <w:r>
              <w:rPr>
                <w:rFonts w:ascii="Times New Roman" w:eastAsia="仿宋_GB2312" w:hAnsi="Times New Roman"/>
                <w:sz w:val="24"/>
              </w:rPr>
              <w:t>人，参保率为</w:t>
            </w:r>
            <w:r>
              <w:rPr>
                <w:rFonts w:ascii="Times New Roman" w:eastAsia="仿宋_GB2312" w:hAnsi="Times New Roman"/>
                <w:sz w:val="24"/>
              </w:rPr>
              <w:t>100%</w:t>
            </w:r>
            <w:r>
              <w:rPr>
                <w:rFonts w:ascii="Times New Roman" w:eastAsia="仿宋_GB2312" w:hAnsi="Times New Roman"/>
                <w:sz w:val="24"/>
              </w:rPr>
              <w:t>。建档立卡贫困人口县域内住院补偿</w:t>
            </w:r>
            <w:r>
              <w:rPr>
                <w:rFonts w:ascii="Times New Roman" w:eastAsia="仿宋_GB2312" w:hAnsi="Times New Roman"/>
                <w:sz w:val="24"/>
              </w:rPr>
              <w:t>141802</w:t>
            </w:r>
            <w:r>
              <w:rPr>
                <w:rFonts w:ascii="Times New Roman" w:eastAsia="仿宋_GB2312" w:hAnsi="Times New Roman"/>
                <w:sz w:val="24"/>
              </w:rPr>
              <w:t>人次，总医疗费用</w:t>
            </w:r>
            <w:r>
              <w:rPr>
                <w:rFonts w:ascii="Times New Roman" w:eastAsia="仿宋_GB2312" w:hAnsi="Times New Roman"/>
                <w:sz w:val="24"/>
              </w:rPr>
              <w:t>52824.20</w:t>
            </w:r>
            <w:r>
              <w:rPr>
                <w:rFonts w:ascii="Times New Roman" w:eastAsia="仿宋_GB2312" w:hAnsi="Times New Roman"/>
                <w:sz w:val="24"/>
              </w:rPr>
              <w:t>万元，报销总金额</w:t>
            </w:r>
            <w:r>
              <w:rPr>
                <w:rFonts w:ascii="Times New Roman" w:eastAsia="仿宋_GB2312" w:hAnsi="Times New Roman"/>
                <w:sz w:val="24"/>
              </w:rPr>
              <w:t>45988.18</w:t>
            </w:r>
            <w:r>
              <w:rPr>
                <w:rFonts w:ascii="Times New Roman" w:eastAsia="仿宋_GB2312" w:hAnsi="Times New Roman"/>
                <w:sz w:val="24"/>
              </w:rPr>
              <w:t>万元，县域内实际综合报销比例为</w:t>
            </w:r>
            <w:r>
              <w:rPr>
                <w:rFonts w:ascii="Times New Roman" w:eastAsia="仿宋_GB2312" w:hAnsi="Times New Roman"/>
                <w:sz w:val="24"/>
              </w:rPr>
              <w:t>87.06%</w:t>
            </w:r>
            <w:r>
              <w:rPr>
                <w:rFonts w:ascii="Times New Roman" w:eastAsia="仿宋_GB2312" w:hAnsi="Times New Roman"/>
                <w:sz w:val="24"/>
              </w:rPr>
              <w:t>。</w:t>
            </w:r>
          </w:p>
          <w:p w:rsidR="0057447D" w:rsidRDefault="007A4AFA">
            <w:pPr>
              <w:numPr>
                <w:ilvl w:val="0"/>
                <w:numId w:val="2"/>
              </w:numPr>
              <w:autoSpaceDN w:val="0"/>
              <w:spacing w:line="300" w:lineRule="exact"/>
              <w:jc w:val="left"/>
              <w:textAlignment w:val="center"/>
              <w:rPr>
                <w:rFonts w:ascii="Times New Roman" w:eastAsia="仿宋_GB2312" w:hAnsi="Times New Roman"/>
                <w:sz w:val="24"/>
              </w:rPr>
            </w:pPr>
            <w:r>
              <w:rPr>
                <w:rFonts w:ascii="Times New Roman" w:eastAsia="仿宋_GB2312" w:hAnsi="Times New Roman"/>
                <w:sz w:val="24"/>
              </w:rPr>
              <w:t>州级统筹工作如期实施，实现了州级统筹工作</w:t>
            </w:r>
            <w:r>
              <w:rPr>
                <w:rFonts w:ascii="Times New Roman" w:eastAsia="仿宋_GB2312" w:hAnsi="Times New Roman"/>
                <w:sz w:val="24"/>
              </w:rPr>
              <w:t>“</w:t>
            </w:r>
            <w:r>
              <w:rPr>
                <w:rFonts w:ascii="Times New Roman" w:eastAsia="仿宋_GB2312" w:hAnsi="Times New Roman"/>
                <w:sz w:val="24"/>
              </w:rPr>
              <w:t>六统一</w:t>
            </w:r>
            <w:r>
              <w:rPr>
                <w:rFonts w:ascii="Times New Roman" w:eastAsia="仿宋_GB2312" w:hAnsi="Times New Roman"/>
                <w:sz w:val="24"/>
              </w:rPr>
              <w:t>”</w:t>
            </w:r>
            <w:r>
              <w:rPr>
                <w:rFonts w:ascii="Times New Roman" w:eastAsia="仿宋_GB2312" w:hAnsi="Times New Roman"/>
                <w:sz w:val="24"/>
              </w:rPr>
              <w:t>。统一了统筹工作政策框架，统一了基金管理，统一了全州药品采购目录及结算方式，统一了全州医保经办服务流程，统一了全州医疗服务项目及价格标准，统一了全州城镇职工、生育保险、城乡居民基本医疗保险基本政策。</w:t>
            </w:r>
          </w:p>
          <w:p w:rsidR="0057447D" w:rsidRDefault="007A4AFA">
            <w:pPr>
              <w:autoSpaceDN w:val="0"/>
              <w:spacing w:line="300" w:lineRule="exact"/>
              <w:jc w:val="left"/>
              <w:textAlignment w:val="cente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、医用耗材价格降幅大，高值耗材平均下降</w:t>
            </w:r>
            <w:r>
              <w:rPr>
                <w:rFonts w:ascii="Times New Roman" w:eastAsia="仿宋_GB2312" w:hAnsi="Times New Roman"/>
                <w:sz w:val="24"/>
              </w:rPr>
              <w:t>42%</w:t>
            </w:r>
            <w:r>
              <w:rPr>
                <w:rFonts w:ascii="Times New Roman" w:eastAsia="仿宋_GB2312" w:hAnsi="Times New Roman"/>
                <w:sz w:val="24"/>
              </w:rPr>
              <w:t>，低值耗材平均降幅</w:t>
            </w:r>
            <w:r>
              <w:rPr>
                <w:rFonts w:ascii="Times New Roman" w:eastAsia="仿宋_GB2312" w:hAnsi="Times New Roman"/>
                <w:sz w:val="24"/>
              </w:rPr>
              <w:t>52.4%</w:t>
            </w:r>
            <w:r>
              <w:rPr>
                <w:rFonts w:ascii="Times New Roman" w:eastAsia="仿宋_GB2312" w:hAnsi="Times New Roman"/>
                <w:sz w:val="24"/>
              </w:rPr>
              <w:t>。高值耗材方面，在全州统一推行骨科植入类集中配送带量采购改革，骨科植入类高值耗材平均下降</w:t>
            </w:r>
            <w:r>
              <w:rPr>
                <w:rFonts w:ascii="Times New Roman" w:eastAsia="仿宋_GB2312" w:hAnsi="Times New Roman"/>
                <w:sz w:val="24"/>
              </w:rPr>
              <w:t>42%</w:t>
            </w:r>
            <w:r>
              <w:rPr>
                <w:rFonts w:ascii="Times New Roman" w:eastAsia="仿宋_GB2312" w:hAnsi="Times New Roman"/>
                <w:sz w:val="24"/>
              </w:rPr>
              <w:t>。出台《关于进一步优化社会办医疗机构医保管理服务的通知》文件，在全省首次将医保协议民营医院纳入我州药品耗材平台采购、零差率销售，并按医院级别执行</w:t>
            </w:r>
            <w:r>
              <w:rPr>
                <w:rFonts w:ascii="Times New Roman" w:eastAsia="仿宋_GB2312" w:hAnsi="Times New Roman"/>
                <w:sz w:val="24"/>
              </w:rPr>
              <w:t>2020</w:t>
            </w:r>
            <w:r>
              <w:rPr>
                <w:rFonts w:ascii="Times New Roman" w:eastAsia="仿宋_GB2312" w:hAnsi="Times New Roman"/>
                <w:sz w:val="24"/>
              </w:rPr>
              <w:t>版医疗服务项目及价格，有效规范了医保协议民营医院药品耗材及服务收费管理。</w:t>
            </w:r>
          </w:p>
          <w:p w:rsidR="0057447D" w:rsidRDefault="007A4AFA">
            <w:pPr>
              <w:autoSpaceDN w:val="0"/>
              <w:spacing w:line="300" w:lineRule="exact"/>
              <w:jc w:val="left"/>
              <w:textAlignment w:val="center"/>
              <w:rPr>
                <w:rFonts w:ascii="Times New Roman" w:eastAsia="仿宋_GB2312" w:hAnsi="Times New Roman"/>
                <w:sz w:val="24"/>
              </w:rPr>
            </w:pPr>
            <w:r>
              <w:rPr>
                <w:rFonts w:ascii="Times New Roman" w:eastAsia="仿宋_GB2312" w:hAnsi="Times New Roman"/>
                <w:sz w:val="24"/>
              </w:rPr>
              <w:t>6</w:t>
            </w:r>
            <w:r>
              <w:rPr>
                <w:rFonts w:ascii="Times New Roman" w:eastAsia="仿宋_GB2312" w:hAnsi="Times New Roman"/>
                <w:sz w:val="24"/>
              </w:rPr>
              <w:t>、全州医保经办机构给定点救治医院先行垫付资金</w:t>
            </w:r>
            <w:r>
              <w:rPr>
                <w:rFonts w:ascii="Times New Roman" w:eastAsia="仿宋_GB2312" w:hAnsi="Times New Roman"/>
                <w:sz w:val="24"/>
              </w:rPr>
              <w:t>5003.83</w:t>
            </w:r>
            <w:r>
              <w:rPr>
                <w:rFonts w:ascii="Times New Roman" w:eastAsia="仿宋_GB2312" w:hAnsi="Times New Roman"/>
                <w:sz w:val="24"/>
              </w:rPr>
              <w:t>万元，确保了定点救治医院不因医保控费影响救治。</w:t>
            </w:r>
          </w:p>
          <w:p w:rsidR="0057447D" w:rsidRDefault="007A4AFA">
            <w:pPr>
              <w:autoSpaceDN w:val="0"/>
              <w:spacing w:line="300" w:lineRule="exact"/>
              <w:jc w:val="left"/>
              <w:textAlignment w:val="center"/>
              <w:rPr>
                <w:rFonts w:ascii="Times New Roman" w:eastAsia="仿宋_GB2312" w:hAnsi="Times New Roman"/>
                <w:sz w:val="24"/>
              </w:rPr>
            </w:pPr>
            <w:r>
              <w:rPr>
                <w:rFonts w:ascii="Times New Roman" w:eastAsia="仿宋_GB2312" w:hAnsi="Times New Roman"/>
                <w:sz w:val="24"/>
              </w:rPr>
              <w:t>7</w:t>
            </w:r>
            <w:r>
              <w:rPr>
                <w:rFonts w:ascii="Times New Roman" w:eastAsia="仿宋_GB2312" w:hAnsi="Times New Roman"/>
                <w:sz w:val="24"/>
              </w:rPr>
              <w:t>、及时垫付医保资金，解决医院控费后顾之忧。及时报销费用，解决患者就医后顾之忧。全州新冠肺炎病人治疗费用全部由医保和财政报销，</w:t>
            </w:r>
            <w:r>
              <w:rPr>
                <w:rFonts w:ascii="Times New Roman" w:eastAsia="仿宋_GB2312" w:hAnsi="Times New Roman"/>
                <w:sz w:val="24"/>
              </w:rPr>
              <w:t>2020</w:t>
            </w:r>
            <w:r>
              <w:rPr>
                <w:rFonts w:ascii="Times New Roman" w:eastAsia="仿宋_GB2312" w:hAnsi="Times New Roman"/>
                <w:sz w:val="24"/>
              </w:rPr>
              <w:t>年，新冠肺炎患者报销费用</w:t>
            </w:r>
            <w:r>
              <w:rPr>
                <w:rFonts w:ascii="Times New Roman" w:eastAsia="仿宋_GB2312" w:hAnsi="Times New Roman"/>
                <w:sz w:val="24"/>
              </w:rPr>
              <w:t>6.86</w:t>
            </w:r>
            <w:r>
              <w:rPr>
                <w:rFonts w:ascii="Times New Roman" w:eastAsia="仿宋_GB2312" w:hAnsi="Times New Roman"/>
                <w:sz w:val="24"/>
              </w:rPr>
              <w:t>万元；疑似病人</w:t>
            </w:r>
            <w:r>
              <w:rPr>
                <w:rFonts w:ascii="Times New Roman" w:eastAsia="仿宋_GB2312" w:hAnsi="Times New Roman"/>
                <w:sz w:val="24"/>
              </w:rPr>
              <w:t>22</w:t>
            </w:r>
            <w:r>
              <w:rPr>
                <w:rFonts w:ascii="Times New Roman" w:eastAsia="仿宋_GB2312" w:hAnsi="Times New Roman"/>
                <w:sz w:val="24"/>
              </w:rPr>
              <w:t>例报销费用</w:t>
            </w:r>
            <w:r>
              <w:rPr>
                <w:rFonts w:ascii="Times New Roman" w:eastAsia="仿宋_GB2312" w:hAnsi="Times New Roman"/>
                <w:sz w:val="24"/>
              </w:rPr>
              <w:t>5.65</w:t>
            </w:r>
            <w:r>
              <w:rPr>
                <w:rFonts w:ascii="Times New Roman" w:eastAsia="仿宋_GB2312" w:hAnsi="Times New Roman"/>
                <w:sz w:val="24"/>
              </w:rPr>
              <w:t>万元，减轻了患者负责，打消了疑似患者住院疑虑。</w:t>
            </w:r>
          </w:p>
          <w:p w:rsidR="0057447D" w:rsidRDefault="007A4AFA">
            <w:pPr>
              <w:autoSpaceDN w:val="0"/>
              <w:spacing w:line="300" w:lineRule="exact"/>
              <w:jc w:val="left"/>
              <w:textAlignment w:val="center"/>
              <w:rPr>
                <w:rFonts w:ascii="Times New Roman" w:eastAsia="仿宋_GB2312" w:hAnsi="Times New Roman"/>
                <w:sz w:val="24"/>
              </w:rPr>
            </w:pPr>
            <w:r>
              <w:rPr>
                <w:rFonts w:ascii="Times New Roman" w:eastAsia="仿宋_GB2312" w:hAnsi="Times New Roman"/>
                <w:sz w:val="24"/>
              </w:rPr>
              <w:t>8</w:t>
            </w:r>
            <w:r>
              <w:rPr>
                <w:rFonts w:ascii="Times New Roman" w:eastAsia="仿宋_GB2312" w:hAnsi="Times New Roman"/>
                <w:sz w:val="24"/>
              </w:rPr>
              <w:t>、一是成立湘西州医疗保障基金监督委员会，建立社会监督员制度。二是加强部门联动，成立了由州医疗保障局牵头、州发展和改革局、州公安局等</w:t>
            </w:r>
            <w:r>
              <w:rPr>
                <w:rFonts w:ascii="Times New Roman" w:eastAsia="仿宋_GB2312" w:hAnsi="Times New Roman"/>
                <w:sz w:val="24"/>
              </w:rPr>
              <w:t>10</w:t>
            </w:r>
            <w:r>
              <w:rPr>
                <w:rFonts w:ascii="Times New Roman" w:eastAsia="仿宋_GB2312" w:hAnsi="Times New Roman"/>
                <w:sz w:val="24"/>
              </w:rPr>
              <w:t>个部门共同组成的联席会议领导小组，共同做好打击欺诈骗保工作。三是加强宣传，开展</w:t>
            </w:r>
            <w:r>
              <w:rPr>
                <w:rFonts w:ascii="Times New Roman" w:eastAsia="仿宋_GB2312" w:hAnsi="Times New Roman"/>
                <w:sz w:val="24"/>
              </w:rPr>
              <w:t>“</w:t>
            </w:r>
            <w:r>
              <w:rPr>
                <w:rFonts w:ascii="Times New Roman" w:eastAsia="仿宋_GB2312" w:hAnsi="Times New Roman"/>
                <w:sz w:val="24"/>
              </w:rPr>
              <w:t>打击欺诈骗保、维护医保基金安全</w:t>
            </w:r>
            <w:r>
              <w:rPr>
                <w:rFonts w:ascii="Times New Roman" w:eastAsia="仿宋_GB2312" w:hAnsi="Times New Roman"/>
                <w:sz w:val="24"/>
              </w:rPr>
              <w:t>”</w:t>
            </w:r>
            <w:r>
              <w:rPr>
                <w:rFonts w:ascii="Times New Roman" w:eastAsia="仿宋_GB2312" w:hAnsi="Times New Roman"/>
                <w:sz w:val="24"/>
              </w:rPr>
              <w:t>集中宣传月活动。四是积极开展打击欺诈骗取医疗保障基金专项行动。</w:t>
            </w:r>
          </w:p>
          <w:p w:rsidR="0057447D" w:rsidRDefault="007A4AFA">
            <w:pPr>
              <w:autoSpaceDN w:val="0"/>
              <w:spacing w:line="300" w:lineRule="exact"/>
              <w:jc w:val="left"/>
              <w:textAlignment w:val="center"/>
              <w:rPr>
                <w:rFonts w:ascii="Times New Roman" w:eastAsia="仿宋_GB2312" w:hAnsi="Times New Roman"/>
                <w:sz w:val="24"/>
              </w:rPr>
            </w:pPr>
            <w:r>
              <w:rPr>
                <w:rFonts w:ascii="Times New Roman" w:eastAsia="仿宋_GB2312" w:hAnsi="Times New Roman"/>
                <w:sz w:val="24"/>
              </w:rPr>
              <w:lastRenderedPageBreak/>
              <w:t>9</w:t>
            </w:r>
            <w:r>
              <w:rPr>
                <w:rFonts w:ascii="Times New Roman" w:eastAsia="仿宋_GB2312" w:hAnsi="Times New Roman"/>
                <w:sz w:val="24"/>
              </w:rPr>
              <w:t>、实现了州域内病人在州级医疗机构住院报销</w:t>
            </w:r>
            <w:r>
              <w:rPr>
                <w:rFonts w:ascii="Times New Roman" w:eastAsia="仿宋_GB2312" w:hAnsi="Times New Roman"/>
                <w:sz w:val="24"/>
              </w:rPr>
              <w:t>“</w:t>
            </w:r>
            <w:r>
              <w:rPr>
                <w:rFonts w:ascii="Times New Roman" w:eastAsia="仿宋_GB2312" w:hAnsi="Times New Roman"/>
                <w:sz w:val="24"/>
              </w:rPr>
              <w:t>一个窗口、一个界面、一站</w:t>
            </w:r>
            <w:r>
              <w:rPr>
                <w:rFonts w:ascii="Times New Roman" w:eastAsia="仿宋_GB2312" w:hAnsi="Times New Roman"/>
                <w:sz w:val="24"/>
              </w:rPr>
              <w:t>”</w:t>
            </w:r>
            <w:r>
              <w:rPr>
                <w:rFonts w:ascii="Times New Roman" w:eastAsia="仿宋_GB2312" w:hAnsi="Times New Roman"/>
                <w:sz w:val="24"/>
              </w:rPr>
              <w:t>式结算。</w:t>
            </w:r>
          </w:p>
        </w:tc>
      </w:tr>
      <w:tr w:rsidR="0057447D" w:rsidTr="00D80294">
        <w:trPr>
          <w:trHeight w:val="475"/>
          <w:jc w:val="center"/>
        </w:trPr>
        <w:tc>
          <w:tcPr>
            <w:tcW w:w="1578" w:type="dxa"/>
            <w:vMerge w:val="restart"/>
            <w:vAlign w:val="center"/>
          </w:tcPr>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7A4AFA">
            <w:pPr>
              <w:autoSpaceDN w:val="0"/>
              <w:spacing w:line="320" w:lineRule="exact"/>
              <w:jc w:val="center"/>
              <w:textAlignment w:val="center"/>
              <w:rPr>
                <w:rFonts w:ascii="仿宋" w:eastAsia="仿宋" w:hAnsi="仿宋" w:cs="仿宋"/>
                <w:spacing w:val="-6"/>
                <w:sz w:val="24"/>
              </w:rPr>
            </w:pPr>
            <w:r>
              <w:rPr>
                <w:rFonts w:ascii="仿宋" w:eastAsia="仿宋" w:hAnsi="仿宋" w:cs="仿宋" w:hint="eastAsia"/>
                <w:spacing w:val="-6"/>
                <w:sz w:val="24"/>
              </w:rPr>
              <w:t>整体支出绩效定量目标及实施计划完成情况</w:t>
            </w:r>
          </w:p>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7A4AFA">
            <w:pPr>
              <w:autoSpaceDN w:val="0"/>
              <w:spacing w:line="320" w:lineRule="exact"/>
              <w:jc w:val="center"/>
              <w:textAlignment w:val="center"/>
              <w:rPr>
                <w:rFonts w:ascii="仿宋" w:eastAsia="仿宋" w:hAnsi="仿宋" w:cs="仿宋"/>
                <w:spacing w:val="-6"/>
                <w:sz w:val="24"/>
                <w:szCs w:val="24"/>
              </w:rPr>
            </w:pPr>
            <w:r>
              <w:rPr>
                <w:rFonts w:ascii="仿宋" w:eastAsia="仿宋" w:hAnsi="仿宋" w:cs="仿宋" w:hint="eastAsia"/>
                <w:spacing w:val="-6"/>
                <w:sz w:val="24"/>
              </w:rPr>
              <w:t>整体支出</w:t>
            </w:r>
            <w:r>
              <w:rPr>
                <w:rFonts w:ascii="仿宋" w:eastAsia="仿宋" w:hAnsi="仿宋" w:cs="仿宋" w:hint="eastAsia"/>
                <w:spacing w:val="-6"/>
                <w:sz w:val="24"/>
                <w:szCs w:val="24"/>
              </w:rPr>
              <w:t>绩效定量目标及实施计划完成情况</w:t>
            </w: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a5"/>
            </w:pPr>
          </w:p>
          <w:p w:rsidR="0057447D" w:rsidRDefault="0057447D">
            <w:pPr>
              <w:pStyle w:val="5"/>
            </w:pPr>
          </w:p>
          <w:p w:rsidR="0057447D" w:rsidRDefault="0057447D"/>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 w:rsidR="0057447D" w:rsidRDefault="007A4AFA">
            <w:pPr>
              <w:autoSpaceDN w:val="0"/>
              <w:spacing w:line="320" w:lineRule="exact"/>
              <w:jc w:val="center"/>
              <w:textAlignment w:val="center"/>
              <w:rPr>
                <w:rFonts w:eastAsia="仿宋_GB2312" w:cs="仿宋_GB2312"/>
                <w:spacing w:val="-6"/>
                <w:sz w:val="24"/>
              </w:rPr>
            </w:pPr>
            <w:r>
              <w:rPr>
                <w:rFonts w:eastAsia="仿宋_GB2312" w:cs="仿宋_GB2312" w:hint="eastAsia"/>
                <w:spacing w:val="-6"/>
                <w:sz w:val="24"/>
              </w:rPr>
              <w:t>整体支出绩效定量目标及实施计划完成情况</w:t>
            </w:r>
          </w:p>
          <w:p w:rsidR="0057447D" w:rsidRDefault="0057447D">
            <w:pPr>
              <w:pStyle w:val="a5"/>
            </w:pPr>
          </w:p>
        </w:tc>
        <w:tc>
          <w:tcPr>
            <w:tcW w:w="2400" w:type="dxa"/>
            <w:gridSpan w:val="4"/>
            <w:vAlign w:val="center"/>
          </w:tcPr>
          <w:p w:rsidR="0057447D" w:rsidRDefault="007A4AFA">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lastRenderedPageBreak/>
              <w:t>评价内容</w:t>
            </w:r>
          </w:p>
        </w:tc>
        <w:tc>
          <w:tcPr>
            <w:tcW w:w="1308" w:type="dxa"/>
            <w:tcBorders>
              <w:right w:val="single" w:sz="4" w:space="0" w:color="auto"/>
            </w:tcBorders>
            <w:vAlign w:val="center"/>
          </w:tcPr>
          <w:p w:rsidR="0057447D" w:rsidRDefault="0057447D">
            <w:pPr>
              <w:autoSpaceDN w:val="0"/>
              <w:spacing w:line="320" w:lineRule="exact"/>
              <w:jc w:val="center"/>
              <w:textAlignment w:val="center"/>
              <w:rPr>
                <w:rFonts w:eastAsia="仿宋_GB2312" w:cs="仿宋_GB2312"/>
                <w:sz w:val="24"/>
              </w:rPr>
            </w:pPr>
          </w:p>
        </w:tc>
        <w:tc>
          <w:tcPr>
            <w:tcW w:w="2247" w:type="dxa"/>
            <w:gridSpan w:val="2"/>
            <w:tcBorders>
              <w:lef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绩效目标</w:t>
            </w:r>
          </w:p>
        </w:tc>
        <w:tc>
          <w:tcPr>
            <w:tcW w:w="2267" w:type="dxa"/>
            <w:gridSpan w:val="5"/>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完成情况</w:t>
            </w:r>
          </w:p>
        </w:tc>
      </w:tr>
      <w:tr w:rsidR="0057447D" w:rsidTr="00D80294">
        <w:trPr>
          <w:trHeight w:val="90"/>
          <w:jc w:val="center"/>
        </w:trPr>
        <w:tc>
          <w:tcPr>
            <w:tcW w:w="1578" w:type="dxa"/>
            <w:vMerge/>
            <w:vAlign w:val="center"/>
          </w:tcPr>
          <w:p w:rsidR="0057447D" w:rsidRDefault="0057447D">
            <w:pPr>
              <w:spacing w:line="320" w:lineRule="exact"/>
              <w:rPr>
                <w:rFonts w:ascii="仿宋" w:eastAsia="仿宋" w:hAnsi="仿宋" w:cs="仿宋"/>
                <w:sz w:val="24"/>
              </w:rPr>
            </w:pPr>
          </w:p>
        </w:tc>
        <w:tc>
          <w:tcPr>
            <w:tcW w:w="1470" w:type="dxa"/>
            <w:gridSpan w:val="3"/>
            <w:vMerge w:val="restart"/>
            <w:vAlign w:val="center"/>
          </w:tcPr>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7A4AFA">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产出目标</w:t>
            </w:r>
          </w:p>
          <w:p w:rsidR="0057447D" w:rsidRDefault="007A4AFA">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（部门工作实绩，包含上级部门和州委州政府布置的重点工作、实事任务等，根据部门实际进行调整细化）。</w:t>
            </w:r>
          </w:p>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 w:rsidR="0057447D" w:rsidRDefault="0057447D">
            <w:pPr>
              <w:pStyle w:val="a5"/>
            </w:pPr>
          </w:p>
          <w:p w:rsidR="0057447D" w:rsidRDefault="0057447D">
            <w:pPr>
              <w:pStyle w:val="5"/>
            </w:pPr>
          </w:p>
          <w:p w:rsidR="0057447D" w:rsidRDefault="0057447D"/>
          <w:p w:rsidR="0057447D" w:rsidRDefault="0057447D"/>
          <w:p w:rsidR="0057447D" w:rsidRDefault="0057447D">
            <w:pPr>
              <w:pStyle w:val="a5"/>
            </w:pPr>
          </w:p>
          <w:p w:rsidR="0057447D" w:rsidRDefault="0057447D">
            <w:pPr>
              <w:pStyle w:val="a5"/>
            </w:pPr>
          </w:p>
          <w:p w:rsidR="0057447D" w:rsidRDefault="007A4AFA">
            <w:pPr>
              <w:autoSpaceDN w:val="0"/>
              <w:spacing w:line="320" w:lineRule="exact"/>
              <w:jc w:val="center"/>
              <w:textAlignment w:val="center"/>
              <w:rPr>
                <w:rFonts w:ascii="Calibri" w:eastAsia="仿宋_GB2312" w:hAnsi="Calibri" w:cs="仿宋_GB2312"/>
                <w:sz w:val="24"/>
                <w:szCs w:val="18"/>
              </w:rPr>
            </w:pPr>
            <w:r>
              <w:rPr>
                <w:rFonts w:ascii="Calibri" w:eastAsia="仿宋_GB2312" w:hAnsi="Calibri" w:cs="仿宋_GB2312" w:hint="eastAsia"/>
                <w:sz w:val="24"/>
                <w:szCs w:val="18"/>
              </w:rPr>
              <w:t>产出目标</w:t>
            </w:r>
          </w:p>
          <w:p w:rsidR="0057447D" w:rsidRDefault="007A4AFA">
            <w:pPr>
              <w:pStyle w:val="5"/>
              <w:ind w:left="0"/>
              <w:rPr>
                <w:rFonts w:eastAsia="仿宋_GB2312" w:cs="仿宋_GB2312"/>
                <w:sz w:val="24"/>
                <w:szCs w:val="18"/>
              </w:rPr>
            </w:pPr>
            <w:r>
              <w:rPr>
                <w:rFonts w:eastAsia="仿宋_GB2312" w:cs="仿宋_GB2312" w:hint="eastAsia"/>
                <w:sz w:val="24"/>
                <w:szCs w:val="18"/>
              </w:rPr>
              <w:t>（部门工作实绩，包含上级部门和州委州政府布置的重点工作、实事任务等，根据部门实际进行调整细化）。</w:t>
            </w: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Pr>
              <w:autoSpaceDN w:val="0"/>
              <w:spacing w:line="320" w:lineRule="exact"/>
              <w:jc w:val="center"/>
              <w:textAlignment w:val="center"/>
              <w:rPr>
                <w:rFonts w:ascii="Calibri" w:eastAsia="仿宋_GB2312" w:hAnsi="Calibri" w:cs="仿宋_GB2312"/>
                <w:sz w:val="24"/>
                <w:szCs w:val="18"/>
              </w:rPr>
            </w:pPr>
          </w:p>
          <w:p w:rsidR="0057447D" w:rsidRDefault="0057447D">
            <w:pPr>
              <w:autoSpaceDN w:val="0"/>
              <w:spacing w:line="320" w:lineRule="exact"/>
              <w:jc w:val="center"/>
              <w:textAlignment w:val="center"/>
              <w:rPr>
                <w:rFonts w:ascii="Calibri" w:eastAsia="仿宋_GB2312" w:hAnsi="Calibri" w:cs="仿宋_GB2312"/>
                <w:sz w:val="24"/>
                <w:szCs w:val="18"/>
              </w:rPr>
            </w:pPr>
          </w:p>
          <w:p w:rsidR="0057447D" w:rsidRDefault="007A4AFA">
            <w:pPr>
              <w:autoSpaceDN w:val="0"/>
              <w:spacing w:line="320" w:lineRule="exact"/>
              <w:jc w:val="center"/>
              <w:textAlignment w:val="center"/>
              <w:rPr>
                <w:rFonts w:ascii="Calibri" w:eastAsia="仿宋_GB2312" w:hAnsi="Calibri" w:cs="仿宋_GB2312"/>
                <w:sz w:val="24"/>
                <w:szCs w:val="18"/>
              </w:rPr>
            </w:pPr>
            <w:r>
              <w:rPr>
                <w:rFonts w:ascii="Calibri" w:eastAsia="仿宋_GB2312" w:hAnsi="Calibri" w:cs="仿宋_GB2312" w:hint="eastAsia"/>
                <w:sz w:val="24"/>
                <w:szCs w:val="18"/>
              </w:rPr>
              <w:t>产出目标</w:t>
            </w:r>
          </w:p>
          <w:p w:rsidR="0057447D" w:rsidRDefault="007A4AFA">
            <w:pPr>
              <w:pStyle w:val="a5"/>
            </w:pPr>
            <w:r>
              <w:rPr>
                <w:rFonts w:ascii="Calibri" w:eastAsia="仿宋_GB2312" w:hAnsi="Calibri" w:cs="仿宋_GB2312" w:hint="eastAsia"/>
                <w:sz w:val="24"/>
              </w:rPr>
              <w:t>（部门工作实绩，包含上级部门和州委州政府布置的重点工作、实事任务等，根据部门实际进行调整细化）。</w:t>
            </w:r>
          </w:p>
        </w:tc>
        <w:tc>
          <w:tcPr>
            <w:tcW w:w="930" w:type="dxa"/>
            <w:vMerge w:val="restart"/>
            <w:vAlign w:val="center"/>
          </w:tcPr>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57447D">
            <w:pPr>
              <w:autoSpaceDN w:val="0"/>
              <w:spacing w:line="320" w:lineRule="exact"/>
              <w:jc w:val="center"/>
              <w:textAlignment w:val="center"/>
              <w:rPr>
                <w:rFonts w:eastAsia="仿宋_GB2312" w:cs="仿宋_GB2312"/>
                <w:sz w:val="24"/>
              </w:rPr>
            </w:pPr>
          </w:p>
          <w:p w:rsidR="0057447D" w:rsidRDefault="007A4AFA">
            <w:pPr>
              <w:autoSpaceDN w:val="0"/>
              <w:spacing w:line="320" w:lineRule="exact"/>
              <w:textAlignment w:val="center"/>
              <w:rPr>
                <w:rFonts w:eastAsia="仿宋_GB2312" w:cs="仿宋_GB2312"/>
                <w:sz w:val="24"/>
              </w:rPr>
            </w:pPr>
            <w:r>
              <w:rPr>
                <w:rFonts w:eastAsia="仿宋_GB2312" w:cs="仿宋_GB2312" w:hint="eastAsia"/>
                <w:sz w:val="24"/>
              </w:rPr>
              <w:t>数量、质量、时效、成本指标</w:t>
            </w: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pStyle w:val="a5"/>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pPr>
          </w:p>
          <w:p w:rsidR="0057447D" w:rsidRDefault="0057447D">
            <w:pPr>
              <w:pStyle w:val="a5"/>
            </w:pPr>
          </w:p>
          <w:p w:rsidR="0057447D" w:rsidRDefault="0057447D">
            <w:pPr>
              <w:jc w:val="center"/>
              <w:rPr>
                <w:rFonts w:eastAsia="仿宋_GB2312" w:cs="仿宋_GB2312"/>
                <w:sz w:val="24"/>
              </w:rPr>
            </w:pPr>
          </w:p>
          <w:p w:rsidR="0057447D" w:rsidRDefault="007A4AFA">
            <w:pPr>
              <w:pStyle w:val="a5"/>
              <w:jc w:val="center"/>
              <w:rPr>
                <w:rFonts w:eastAsia="仿宋_GB2312" w:cs="仿宋_GB2312"/>
                <w:sz w:val="24"/>
              </w:rPr>
            </w:pPr>
            <w:r>
              <w:rPr>
                <w:rFonts w:eastAsia="仿宋_GB2312" w:cs="仿宋_GB2312" w:hint="eastAsia"/>
                <w:sz w:val="24"/>
              </w:rPr>
              <w:t>数量、质量、时效、成本指标</w:t>
            </w: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57447D">
            <w:pPr>
              <w:pStyle w:val="5"/>
              <w:rPr>
                <w:rFonts w:eastAsia="仿宋_GB2312" w:cs="仿宋_GB2312"/>
                <w:sz w:val="24"/>
              </w:rPr>
            </w:pPr>
          </w:p>
          <w:p w:rsidR="0057447D" w:rsidRDefault="0057447D">
            <w:pPr>
              <w:rPr>
                <w:rFonts w:eastAsia="仿宋_GB2312" w:cs="仿宋_GB2312"/>
                <w:sz w:val="24"/>
              </w:rPr>
            </w:pPr>
          </w:p>
          <w:p w:rsidR="0057447D" w:rsidRDefault="0057447D">
            <w:pPr>
              <w:pStyle w:val="a5"/>
              <w:rPr>
                <w:rFonts w:eastAsia="仿宋_GB2312" w:cs="仿宋_GB2312"/>
                <w:sz w:val="24"/>
              </w:rPr>
            </w:pPr>
          </w:p>
          <w:p w:rsidR="0057447D" w:rsidRDefault="007A4AFA">
            <w:pPr>
              <w:pStyle w:val="a5"/>
              <w:jc w:val="center"/>
              <w:rPr>
                <w:rFonts w:eastAsia="仿宋_GB2312" w:cs="仿宋_GB2312"/>
                <w:sz w:val="24"/>
              </w:rPr>
            </w:pPr>
            <w:r>
              <w:rPr>
                <w:rFonts w:eastAsia="仿宋_GB2312" w:cs="仿宋_GB2312" w:hint="eastAsia"/>
                <w:sz w:val="24"/>
              </w:rPr>
              <w:t>数量、质量、时效、成本指标</w:t>
            </w:r>
          </w:p>
        </w:tc>
        <w:tc>
          <w:tcPr>
            <w:tcW w:w="1308" w:type="dxa"/>
            <w:tcBorders>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lastRenderedPageBreak/>
              <w:t>数量指标</w:t>
            </w:r>
          </w:p>
        </w:tc>
        <w:tc>
          <w:tcPr>
            <w:tcW w:w="2247" w:type="dxa"/>
            <w:gridSpan w:val="2"/>
            <w:tcBorders>
              <w:left w:val="single" w:sz="4" w:space="0" w:color="auto"/>
            </w:tcBorders>
          </w:tcPr>
          <w:p w:rsidR="0057447D" w:rsidRDefault="007A4AFA">
            <w:pPr>
              <w:numPr>
                <w:ilvl w:val="0"/>
                <w:numId w:val="3"/>
              </w:numPr>
              <w:autoSpaceDN w:val="0"/>
              <w:spacing w:line="400" w:lineRule="exact"/>
              <w:jc w:val="left"/>
              <w:textAlignment w:val="center"/>
              <w:rPr>
                <w:rFonts w:ascii="Times New Roman" w:eastAsia="仿宋_GB2312" w:hAnsi="Times New Roman"/>
                <w:sz w:val="24"/>
              </w:rPr>
            </w:pPr>
            <w:r>
              <w:rPr>
                <w:rFonts w:ascii="Times New Roman" w:eastAsia="仿宋_GB2312" w:hAnsi="Times New Roman"/>
                <w:sz w:val="24"/>
              </w:rPr>
              <w:t>城乡居民参保率达到</w:t>
            </w:r>
            <w:r>
              <w:rPr>
                <w:rFonts w:ascii="Times New Roman" w:eastAsia="仿宋_GB2312" w:hAnsi="Times New Roman"/>
                <w:sz w:val="24"/>
              </w:rPr>
              <w:t>95%</w:t>
            </w:r>
            <w:r>
              <w:rPr>
                <w:rFonts w:ascii="Times New Roman" w:eastAsia="仿宋_GB2312" w:hAnsi="Times New Roman"/>
                <w:sz w:val="24"/>
              </w:rPr>
              <w:t>以上，贫困人口参保率达</w:t>
            </w:r>
            <w:r>
              <w:rPr>
                <w:rFonts w:ascii="Times New Roman" w:eastAsia="仿宋_GB2312" w:hAnsi="Times New Roman"/>
                <w:sz w:val="24"/>
              </w:rPr>
              <w:t>100%</w:t>
            </w:r>
            <w:r>
              <w:rPr>
                <w:rFonts w:ascii="Times New Roman" w:eastAsia="仿宋_GB2312" w:hAnsi="Times New Roman"/>
                <w:sz w:val="24"/>
              </w:rPr>
              <w:t>。</w:t>
            </w:r>
          </w:p>
          <w:p w:rsidR="0057447D" w:rsidRDefault="007A4AFA">
            <w:pPr>
              <w:autoSpaceDN w:val="0"/>
              <w:spacing w:line="400" w:lineRule="exact"/>
              <w:jc w:val="left"/>
              <w:textAlignment w:val="cente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、贫困人口县域内住院医疗费用综合实际报销比例达</w:t>
            </w:r>
            <w:r>
              <w:rPr>
                <w:rFonts w:ascii="Times New Roman" w:eastAsia="仿宋_GB2312" w:hAnsi="Times New Roman"/>
                <w:sz w:val="24"/>
              </w:rPr>
              <w:t>85%</w:t>
            </w:r>
            <w:r>
              <w:rPr>
                <w:rFonts w:ascii="Times New Roman" w:eastAsia="仿宋_GB2312" w:hAnsi="Times New Roman"/>
                <w:sz w:val="24"/>
              </w:rPr>
              <w:t>以上，不超过</w:t>
            </w:r>
            <w:r>
              <w:rPr>
                <w:rFonts w:ascii="Times New Roman" w:eastAsia="仿宋_GB2312" w:hAnsi="Times New Roman"/>
                <w:sz w:val="24"/>
              </w:rPr>
              <w:t>90%</w:t>
            </w:r>
            <w:r>
              <w:rPr>
                <w:rFonts w:ascii="Times New Roman" w:eastAsia="仿宋_GB2312" w:hAnsi="Times New Roman"/>
                <w:sz w:val="24"/>
              </w:rPr>
              <w:t>。</w:t>
            </w:r>
          </w:p>
        </w:tc>
        <w:tc>
          <w:tcPr>
            <w:tcW w:w="2267" w:type="dxa"/>
            <w:gridSpan w:val="5"/>
          </w:tcPr>
          <w:p w:rsidR="0057447D" w:rsidRDefault="007A4AFA">
            <w:pPr>
              <w:autoSpaceDN w:val="0"/>
              <w:spacing w:line="320" w:lineRule="exact"/>
              <w:textAlignment w:val="center"/>
              <w:rPr>
                <w:rFonts w:ascii="Times New Roman" w:eastAsia="仿宋_GB2312" w:hAnsi="Times New Roman"/>
                <w:bCs/>
                <w:sz w:val="24"/>
              </w:rPr>
            </w:pPr>
            <w:r>
              <w:rPr>
                <w:rFonts w:ascii="Times New Roman" w:eastAsia="仿宋_GB2312" w:hAnsi="Times New Roman"/>
                <w:bCs/>
                <w:sz w:val="24"/>
              </w:rPr>
              <w:t>1</w:t>
            </w:r>
            <w:r>
              <w:rPr>
                <w:rFonts w:ascii="Times New Roman" w:eastAsia="仿宋_GB2312" w:hAnsi="Times New Roman"/>
                <w:bCs/>
                <w:sz w:val="24"/>
              </w:rPr>
              <w:t>、城乡居民参保率</w:t>
            </w:r>
            <w:r>
              <w:rPr>
                <w:rFonts w:ascii="Times New Roman" w:eastAsia="仿宋_GB2312" w:hAnsi="Times New Roman"/>
                <w:bCs/>
                <w:sz w:val="24"/>
              </w:rPr>
              <w:t>97.13%</w:t>
            </w:r>
            <w:r>
              <w:rPr>
                <w:rFonts w:ascii="Times New Roman" w:eastAsia="仿宋_GB2312" w:hAnsi="Times New Roman"/>
                <w:bCs/>
                <w:sz w:val="24"/>
              </w:rPr>
              <w:t>。贫困人口参保率为</w:t>
            </w:r>
            <w:r>
              <w:rPr>
                <w:rFonts w:ascii="Times New Roman" w:eastAsia="仿宋_GB2312" w:hAnsi="Times New Roman"/>
                <w:bCs/>
                <w:sz w:val="24"/>
              </w:rPr>
              <w:t>100%</w:t>
            </w:r>
            <w:r>
              <w:rPr>
                <w:rFonts w:ascii="Times New Roman" w:eastAsia="仿宋_GB2312" w:hAnsi="Times New Roman"/>
                <w:bCs/>
                <w:sz w:val="24"/>
              </w:rPr>
              <w:t>。</w:t>
            </w:r>
          </w:p>
          <w:p w:rsidR="0057447D" w:rsidRDefault="007A4AFA">
            <w:pPr>
              <w:autoSpaceDN w:val="0"/>
              <w:spacing w:line="320" w:lineRule="exact"/>
              <w:textAlignment w:val="center"/>
              <w:rPr>
                <w:rFonts w:ascii="Times New Roman" w:eastAsia="仿宋_GB2312" w:hAnsi="Times New Roman"/>
                <w:bCs/>
                <w:sz w:val="24"/>
              </w:rPr>
            </w:pPr>
            <w:r>
              <w:rPr>
                <w:rFonts w:ascii="Times New Roman" w:eastAsia="仿宋_GB2312" w:hAnsi="Times New Roman"/>
                <w:bCs/>
                <w:sz w:val="24"/>
              </w:rPr>
              <w:t>2</w:t>
            </w:r>
            <w:r>
              <w:rPr>
                <w:rFonts w:ascii="Times New Roman" w:eastAsia="仿宋_GB2312" w:hAnsi="Times New Roman"/>
                <w:bCs/>
                <w:sz w:val="24"/>
              </w:rPr>
              <w:t>、建档立卡贫困人口县域内住院补偿</w:t>
            </w:r>
            <w:r>
              <w:rPr>
                <w:rFonts w:ascii="Times New Roman" w:eastAsia="仿宋_GB2312" w:hAnsi="Times New Roman"/>
                <w:bCs/>
                <w:sz w:val="24"/>
              </w:rPr>
              <w:t>141802</w:t>
            </w:r>
            <w:r>
              <w:rPr>
                <w:rFonts w:ascii="Times New Roman" w:eastAsia="仿宋_GB2312" w:hAnsi="Times New Roman"/>
                <w:bCs/>
                <w:sz w:val="24"/>
              </w:rPr>
              <w:t>人次，总医疗费用</w:t>
            </w:r>
            <w:r>
              <w:rPr>
                <w:rFonts w:ascii="Times New Roman" w:eastAsia="仿宋_GB2312" w:hAnsi="Times New Roman"/>
                <w:bCs/>
                <w:sz w:val="24"/>
              </w:rPr>
              <w:t>52824.20</w:t>
            </w:r>
            <w:r>
              <w:rPr>
                <w:rFonts w:ascii="Times New Roman" w:eastAsia="仿宋_GB2312" w:hAnsi="Times New Roman"/>
                <w:bCs/>
                <w:sz w:val="24"/>
              </w:rPr>
              <w:t>万元，报销总金额</w:t>
            </w:r>
            <w:r>
              <w:rPr>
                <w:rFonts w:ascii="Times New Roman" w:eastAsia="仿宋_GB2312" w:hAnsi="Times New Roman"/>
                <w:bCs/>
                <w:sz w:val="24"/>
              </w:rPr>
              <w:t>45988.18</w:t>
            </w:r>
            <w:r>
              <w:rPr>
                <w:rFonts w:ascii="Times New Roman" w:eastAsia="仿宋_GB2312" w:hAnsi="Times New Roman"/>
                <w:bCs/>
                <w:sz w:val="24"/>
              </w:rPr>
              <w:t>万元，县域内实际综合报销比例为</w:t>
            </w:r>
            <w:r>
              <w:rPr>
                <w:rFonts w:ascii="Times New Roman" w:eastAsia="仿宋_GB2312" w:hAnsi="Times New Roman"/>
                <w:bCs/>
                <w:sz w:val="24"/>
              </w:rPr>
              <w:t>87.06%</w:t>
            </w:r>
            <w:r>
              <w:rPr>
                <w:rFonts w:ascii="Times New Roman" w:eastAsia="仿宋_GB2312" w:hAnsi="Times New Roman"/>
                <w:bCs/>
                <w:sz w:val="24"/>
              </w:rPr>
              <w:t>。</w:t>
            </w:r>
          </w:p>
        </w:tc>
      </w:tr>
      <w:tr w:rsidR="0057447D" w:rsidTr="00D80294">
        <w:trPr>
          <w:trHeight w:val="90"/>
          <w:jc w:val="center"/>
        </w:trPr>
        <w:tc>
          <w:tcPr>
            <w:tcW w:w="1578" w:type="dxa"/>
            <w:vMerge/>
            <w:vAlign w:val="center"/>
          </w:tcPr>
          <w:p w:rsidR="0057447D" w:rsidRDefault="0057447D">
            <w:pPr>
              <w:spacing w:line="320" w:lineRule="exact"/>
              <w:rPr>
                <w:rFonts w:eastAsia="仿宋_GB2312" w:cs="仿宋_GB2312"/>
                <w:sz w:val="24"/>
              </w:rPr>
            </w:pPr>
          </w:p>
        </w:tc>
        <w:tc>
          <w:tcPr>
            <w:tcW w:w="1470" w:type="dxa"/>
            <w:gridSpan w:val="3"/>
            <w:vMerge/>
            <w:vAlign w:val="center"/>
          </w:tcPr>
          <w:p w:rsidR="0057447D" w:rsidRDefault="0057447D">
            <w:pPr>
              <w:autoSpaceDN w:val="0"/>
              <w:spacing w:line="320" w:lineRule="exact"/>
              <w:jc w:val="center"/>
              <w:textAlignment w:val="center"/>
              <w:rPr>
                <w:rFonts w:eastAsia="仿宋_GB2312" w:cs="仿宋_GB2312"/>
                <w:sz w:val="24"/>
              </w:rPr>
            </w:pPr>
          </w:p>
        </w:tc>
        <w:tc>
          <w:tcPr>
            <w:tcW w:w="930" w:type="dxa"/>
            <w:vMerge/>
            <w:vAlign w:val="center"/>
          </w:tcPr>
          <w:p w:rsidR="0057447D" w:rsidRDefault="0057447D">
            <w:pPr>
              <w:autoSpaceDN w:val="0"/>
              <w:spacing w:line="320" w:lineRule="exact"/>
              <w:jc w:val="center"/>
              <w:textAlignment w:val="center"/>
              <w:rPr>
                <w:rFonts w:eastAsia="仿宋_GB2312" w:cs="仿宋_GB2312"/>
                <w:sz w:val="24"/>
              </w:rPr>
            </w:pPr>
          </w:p>
        </w:tc>
        <w:tc>
          <w:tcPr>
            <w:tcW w:w="1308" w:type="dxa"/>
            <w:tcBorders>
              <w:right w:val="single" w:sz="4" w:space="0" w:color="auto"/>
            </w:tcBorders>
            <w:vAlign w:val="center"/>
          </w:tcPr>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57447D">
            <w:pPr>
              <w:autoSpaceDN w:val="0"/>
              <w:spacing w:line="320" w:lineRule="exact"/>
              <w:jc w:val="center"/>
              <w:textAlignment w:val="center"/>
            </w:pPr>
          </w:p>
          <w:p w:rsidR="0057447D" w:rsidRDefault="007A4AFA">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质量指标</w:t>
            </w:r>
          </w:p>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5"/>
            </w:pPr>
          </w:p>
          <w:p w:rsidR="0057447D" w:rsidRDefault="0057447D">
            <w:pPr>
              <w:pStyle w:val="5"/>
            </w:pPr>
          </w:p>
          <w:p w:rsidR="0057447D" w:rsidRDefault="0057447D">
            <w:pPr>
              <w:pStyle w:val="a5"/>
            </w:pPr>
          </w:p>
          <w:p w:rsidR="0057447D" w:rsidRDefault="0057447D">
            <w:pPr>
              <w:pStyle w:val="5"/>
            </w:pPr>
          </w:p>
          <w:p w:rsidR="0057447D" w:rsidRDefault="0057447D">
            <w:pPr>
              <w:pStyle w:val="a5"/>
            </w:pPr>
          </w:p>
          <w:p w:rsidR="0057447D" w:rsidRDefault="0057447D">
            <w:pPr>
              <w:pStyle w:val="5"/>
            </w:pPr>
          </w:p>
          <w:p w:rsidR="0057447D" w:rsidRDefault="0057447D"/>
          <w:p w:rsidR="0057447D" w:rsidRDefault="0057447D">
            <w:pPr>
              <w:pStyle w:val="a5"/>
            </w:pPr>
          </w:p>
          <w:p w:rsidR="0057447D" w:rsidRDefault="0057447D">
            <w:pPr>
              <w:pStyle w:val="a5"/>
            </w:pPr>
          </w:p>
          <w:p w:rsidR="0057447D" w:rsidRDefault="0057447D">
            <w:pPr>
              <w:pStyle w:val="a5"/>
            </w:pPr>
          </w:p>
          <w:p w:rsidR="0057447D" w:rsidRDefault="0057447D">
            <w:pPr>
              <w:pStyle w:val="5"/>
            </w:pPr>
          </w:p>
          <w:p w:rsidR="0057447D" w:rsidRDefault="007A4AFA">
            <w:r>
              <w:rPr>
                <w:rFonts w:eastAsia="仿宋_GB2312" w:cs="仿宋_GB2312" w:hint="eastAsia"/>
                <w:sz w:val="24"/>
              </w:rPr>
              <w:t>质量指标</w:t>
            </w:r>
          </w:p>
          <w:p w:rsidR="0057447D" w:rsidRDefault="0057447D">
            <w:pPr>
              <w:pStyle w:val="a5"/>
            </w:pPr>
          </w:p>
          <w:p w:rsidR="0057447D" w:rsidRDefault="0057447D">
            <w:pPr>
              <w:pStyle w:val="5"/>
            </w:pPr>
          </w:p>
          <w:p w:rsidR="0057447D" w:rsidRDefault="0057447D"/>
          <w:p w:rsidR="0057447D" w:rsidRDefault="0057447D">
            <w:pPr>
              <w:pStyle w:val="a5"/>
            </w:pPr>
          </w:p>
        </w:tc>
        <w:tc>
          <w:tcPr>
            <w:tcW w:w="2247" w:type="dxa"/>
            <w:gridSpan w:val="2"/>
            <w:tcBorders>
              <w:left w:val="single" w:sz="4" w:space="0" w:color="auto"/>
            </w:tcBorders>
          </w:tcPr>
          <w:p w:rsidR="0057447D" w:rsidRDefault="007A4AFA">
            <w:pPr>
              <w:autoSpaceDN w:val="0"/>
              <w:spacing w:line="340" w:lineRule="exact"/>
              <w:jc w:val="left"/>
              <w:textAlignment w:val="center"/>
              <w:rPr>
                <w:rFonts w:ascii="Times New Roman" w:eastAsia="仿宋_GB2312" w:hAnsi="Times New Roman"/>
                <w:sz w:val="24"/>
              </w:rPr>
            </w:pPr>
            <w:r>
              <w:rPr>
                <w:rFonts w:ascii="Times New Roman" w:eastAsia="仿宋_GB2312" w:hAnsi="Times New Roman"/>
                <w:sz w:val="24"/>
              </w:rPr>
              <w:lastRenderedPageBreak/>
              <w:t>1</w:t>
            </w:r>
            <w:r>
              <w:rPr>
                <w:rFonts w:ascii="Times New Roman" w:eastAsia="仿宋_GB2312" w:hAnsi="Times New Roman"/>
                <w:sz w:val="24"/>
              </w:rPr>
              <w:t>、落细落地待遇保障政策</w:t>
            </w:r>
            <w:r>
              <w:rPr>
                <w:rFonts w:ascii="Times New Roman" w:eastAsia="仿宋_GB2312" w:hAnsi="Times New Roman"/>
                <w:sz w:val="24"/>
              </w:rPr>
              <w:t>,</w:t>
            </w:r>
            <w:r>
              <w:rPr>
                <w:rFonts w:ascii="Times New Roman" w:eastAsia="仿宋_GB2312" w:hAnsi="Times New Roman"/>
                <w:sz w:val="24"/>
              </w:rPr>
              <w:t>规范城乡居民门诊统筹、</w:t>
            </w:r>
            <w:r>
              <w:rPr>
                <w:rFonts w:ascii="Times New Roman" w:eastAsia="仿宋_GB2312" w:hAnsi="Times New Roman"/>
                <w:sz w:val="24"/>
              </w:rPr>
              <w:t>“</w:t>
            </w:r>
            <w:r>
              <w:rPr>
                <w:rFonts w:ascii="Times New Roman" w:eastAsia="仿宋_GB2312" w:hAnsi="Times New Roman"/>
                <w:sz w:val="24"/>
              </w:rPr>
              <w:t>两病</w:t>
            </w:r>
            <w:r>
              <w:rPr>
                <w:rFonts w:ascii="Times New Roman" w:eastAsia="仿宋_GB2312" w:hAnsi="Times New Roman"/>
                <w:sz w:val="24"/>
              </w:rPr>
              <w:t>”</w:t>
            </w:r>
            <w:r>
              <w:rPr>
                <w:rFonts w:ascii="Times New Roman" w:eastAsia="仿宋_GB2312" w:hAnsi="Times New Roman"/>
                <w:sz w:val="24"/>
              </w:rPr>
              <w:t>用药经办流程。</w:t>
            </w:r>
          </w:p>
          <w:p w:rsidR="0057447D" w:rsidRDefault="007A4AFA">
            <w:pPr>
              <w:autoSpaceDN w:val="0"/>
              <w:spacing w:line="340" w:lineRule="exact"/>
              <w:jc w:val="left"/>
              <w:textAlignment w:val="cente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、深化医保体制改革，按省要求全面启动基本医疗保险和生育保险州级统筹。</w:t>
            </w:r>
          </w:p>
          <w:p w:rsidR="0057447D" w:rsidRDefault="007A4AFA">
            <w:pPr>
              <w:autoSpaceDN w:val="0"/>
              <w:spacing w:line="340" w:lineRule="exact"/>
              <w:jc w:val="left"/>
              <w:textAlignment w:val="cente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、深化药品耗材改革，治理药品耗材虚高问题</w:t>
            </w:r>
            <w:r>
              <w:rPr>
                <w:rFonts w:ascii="Times New Roman" w:eastAsia="仿宋_GB2312" w:hAnsi="Times New Roman"/>
                <w:sz w:val="24"/>
              </w:rPr>
              <w:t>,</w:t>
            </w:r>
            <w:r>
              <w:rPr>
                <w:rFonts w:ascii="Times New Roman" w:eastAsia="仿宋_GB2312" w:hAnsi="Times New Roman"/>
                <w:sz w:val="24"/>
              </w:rPr>
              <w:t>继续巩固和完善三明药品（耗材）联盟，启动低值耗材联合限价采购。</w:t>
            </w:r>
          </w:p>
          <w:p w:rsidR="0057447D" w:rsidRDefault="007A4AFA">
            <w:pPr>
              <w:autoSpaceDN w:val="0"/>
              <w:spacing w:line="340" w:lineRule="exact"/>
              <w:jc w:val="left"/>
              <w:textAlignment w:val="cente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、推进医保支付方式改革，发挥医保基金最大效益</w:t>
            </w:r>
            <w:r>
              <w:rPr>
                <w:rFonts w:ascii="Times New Roman" w:eastAsia="仿宋_GB2312" w:hAnsi="Times New Roman"/>
                <w:sz w:val="24"/>
              </w:rPr>
              <w:t>,</w:t>
            </w:r>
            <w:r>
              <w:rPr>
                <w:rFonts w:ascii="Times New Roman" w:eastAsia="仿宋_GB2312" w:hAnsi="Times New Roman"/>
                <w:sz w:val="24"/>
              </w:rPr>
              <w:t>探索按协议约定向医疗机构预付部分医保资金，缓解其资金运行压力。</w:t>
            </w:r>
          </w:p>
          <w:p w:rsidR="0057447D" w:rsidRDefault="007A4AFA">
            <w:pPr>
              <w:autoSpaceDN w:val="0"/>
              <w:spacing w:line="340" w:lineRule="exact"/>
              <w:jc w:val="left"/>
              <w:textAlignment w:val="center"/>
              <w:rPr>
                <w:rFonts w:ascii="Times New Roman" w:eastAsia="仿宋_GB2312" w:hAnsi="Times New Roman"/>
                <w:spacing w:val="-6"/>
                <w:sz w:val="24"/>
              </w:rPr>
            </w:pPr>
            <w:r>
              <w:rPr>
                <w:rFonts w:ascii="Times New Roman" w:eastAsia="仿宋_GB2312" w:hAnsi="Times New Roman"/>
                <w:sz w:val="24"/>
              </w:rPr>
              <w:t>5</w:t>
            </w:r>
            <w:r>
              <w:rPr>
                <w:rFonts w:ascii="Times New Roman" w:eastAsia="仿宋_GB2312" w:hAnsi="Times New Roman"/>
                <w:sz w:val="24"/>
              </w:rPr>
              <w:t>、完</w:t>
            </w:r>
            <w:r>
              <w:rPr>
                <w:rFonts w:ascii="Times New Roman" w:eastAsia="仿宋_GB2312" w:hAnsi="Times New Roman"/>
                <w:spacing w:val="-6"/>
                <w:sz w:val="24"/>
              </w:rPr>
              <w:t>善重大疫情医疗救治费用保障机制</w:t>
            </w:r>
            <w:r>
              <w:rPr>
                <w:rFonts w:ascii="Times New Roman" w:eastAsia="仿宋_GB2312" w:hAnsi="Times New Roman"/>
                <w:spacing w:val="-6"/>
                <w:sz w:val="24"/>
              </w:rPr>
              <w:t>,</w:t>
            </w:r>
            <w:r>
              <w:rPr>
                <w:rFonts w:ascii="Times New Roman" w:eastAsia="仿宋_GB2312" w:hAnsi="Times New Roman"/>
                <w:spacing w:val="-6"/>
                <w:sz w:val="24"/>
              </w:rPr>
              <w:t>在突发疫情等紧急情况时，确保医疗机构先救治、后收费</w:t>
            </w:r>
            <w:r>
              <w:rPr>
                <w:rFonts w:ascii="Times New Roman" w:eastAsia="仿宋_GB2312" w:hAnsi="Times New Roman"/>
                <w:spacing w:val="-6"/>
                <w:sz w:val="24"/>
              </w:rPr>
              <w:t>,</w:t>
            </w:r>
            <w:r>
              <w:rPr>
                <w:rFonts w:ascii="Times New Roman" w:eastAsia="仿宋_GB2312" w:hAnsi="Times New Roman"/>
                <w:spacing w:val="-6"/>
                <w:sz w:val="24"/>
              </w:rPr>
              <w:t>健全重大疫情医疗救治医保支付政策，完善异地就医</w:t>
            </w:r>
            <w:r>
              <w:rPr>
                <w:rFonts w:ascii="Times New Roman" w:eastAsia="仿宋_GB2312" w:hAnsi="Times New Roman"/>
                <w:spacing w:val="-6"/>
                <w:sz w:val="24"/>
              </w:rPr>
              <w:lastRenderedPageBreak/>
              <w:t>直接结算制度，确保患者不因费用问题影响就医。</w:t>
            </w:r>
          </w:p>
          <w:p w:rsidR="0057447D" w:rsidRDefault="0057447D">
            <w:pPr>
              <w:pStyle w:val="a5"/>
              <w:rPr>
                <w:rFonts w:ascii="Times New Roman" w:eastAsia="仿宋_GB2312" w:hAnsi="Times New Roman"/>
                <w:spacing w:val="-6"/>
                <w:sz w:val="24"/>
              </w:rPr>
            </w:pPr>
          </w:p>
          <w:p w:rsidR="0057447D" w:rsidRDefault="0057447D">
            <w:pPr>
              <w:pStyle w:val="5"/>
              <w:rPr>
                <w:rFonts w:ascii="Times New Roman" w:eastAsia="仿宋_GB2312" w:hAnsi="Times New Roman"/>
                <w:spacing w:val="-6"/>
                <w:sz w:val="24"/>
              </w:rPr>
            </w:pPr>
          </w:p>
          <w:p w:rsidR="0057447D" w:rsidRDefault="0057447D">
            <w:pPr>
              <w:rPr>
                <w:rFonts w:ascii="Times New Roman" w:eastAsia="仿宋_GB2312" w:hAnsi="Times New Roman"/>
                <w:spacing w:val="-6"/>
                <w:sz w:val="24"/>
              </w:rPr>
            </w:pPr>
          </w:p>
          <w:p w:rsidR="0057447D" w:rsidRDefault="0057447D">
            <w:pPr>
              <w:pStyle w:val="a5"/>
              <w:rPr>
                <w:rFonts w:ascii="Times New Roman" w:eastAsia="仿宋_GB2312" w:hAnsi="Times New Roman"/>
                <w:spacing w:val="-6"/>
                <w:sz w:val="24"/>
              </w:rPr>
            </w:pPr>
          </w:p>
          <w:p w:rsidR="0057447D" w:rsidRDefault="0057447D">
            <w:pPr>
              <w:pStyle w:val="5"/>
            </w:pPr>
          </w:p>
          <w:p w:rsidR="0057447D" w:rsidRDefault="0057447D">
            <w:pPr>
              <w:pStyle w:val="a5"/>
            </w:pPr>
          </w:p>
          <w:p w:rsidR="0057447D" w:rsidRDefault="007A4AFA">
            <w:pPr>
              <w:autoSpaceDN w:val="0"/>
              <w:spacing w:line="440" w:lineRule="exact"/>
              <w:jc w:val="left"/>
              <w:textAlignment w:val="center"/>
              <w:rPr>
                <w:rFonts w:ascii="Times New Roman" w:eastAsia="仿宋_GB2312" w:hAnsi="Times New Roman"/>
                <w:sz w:val="24"/>
              </w:rPr>
            </w:pPr>
            <w:r>
              <w:rPr>
                <w:rFonts w:ascii="Times New Roman" w:eastAsia="仿宋_GB2312" w:hAnsi="Times New Roman"/>
                <w:sz w:val="24"/>
              </w:rPr>
              <w:t>6</w:t>
            </w:r>
            <w:r>
              <w:rPr>
                <w:rFonts w:ascii="Times New Roman" w:eastAsia="仿宋_GB2312" w:hAnsi="Times New Roman"/>
                <w:sz w:val="24"/>
              </w:rPr>
              <w:t>、加强基金监管，保障医保基金安全</w:t>
            </w:r>
            <w:r>
              <w:rPr>
                <w:rFonts w:ascii="Times New Roman" w:eastAsia="仿宋_GB2312" w:hAnsi="Times New Roman"/>
                <w:sz w:val="24"/>
              </w:rPr>
              <w:t>,</w:t>
            </w:r>
            <w:r>
              <w:rPr>
                <w:rFonts w:ascii="Times New Roman" w:eastAsia="仿宋_GB2312" w:hAnsi="Times New Roman"/>
                <w:sz w:val="24"/>
              </w:rPr>
              <w:t>坚决查处医疗机构内外勾结欺诈骗保行为，建立和强化长效机制。</w:t>
            </w:r>
          </w:p>
          <w:p w:rsidR="0057447D" w:rsidRDefault="007A4AFA">
            <w:pPr>
              <w:autoSpaceDN w:val="0"/>
              <w:spacing w:line="440" w:lineRule="exact"/>
              <w:jc w:val="left"/>
              <w:textAlignment w:val="center"/>
              <w:rPr>
                <w:rFonts w:ascii="Times New Roman" w:eastAsia="仿宋_GB2312" w:hAnsi="Times New Roman"/>
                <w:sz w:val="24"/>
              </w:rPr>
            </w:pPr>
            <w:r>
              <w:rPr>
                <w:rFonts w:ascii="Times New Roman" w:eastAsia="仿宋_GB2312" w:hAnsi="Times New Roman"/>
                <w:sz w:val="24"/>
              </w:rPr>
              <w:t>7</w:t>
            </w:r>
            <w:r>
              <w:rPr>
                <w:rFonts w:ascii="Times New Roman" w:eastAsia="仿宋_GB2312" w:hAnsi="Times New Roman"/>
                <w:sz w:val="24"/>
              </w:rPr>
              <w:t>、深化放管服改革，优化医保经办服务。推进医保经办服务标准化规范化，实现医疗保障一站式服务、一窗口办理、一单制结算</w:t>
            </w:r>
            <w:r>
              <w:rPr>
                <w:rFonts w:ascii="Times New Roman" w:eastAsia="仿宋_GB2312" w:hAnsi="Times New Roman"/>
                <w:sz w:val="24"/>
              </w:rPr>
              <w:t>,</w:t>
            </w:r>
            <w:r>
              <w:rPr>
                <w:rFonts w:ascii="Times New Roman" w:eastAsia="仿宋_GB2312" w:hAnsi="Times New Roman"/>
                <w:sz w:val="24"/>
              </w:rPr>
              <w:t>加快推进服务事项网上办理，提高运行效率和服务质量。</w:t>
            </w:r>
          </w:p>
        </w:tc>
        <w:tc>
          <w:tcPr>
            <w:tcW w:w="2267" w:type="dxa"/>
            <w:gridSpan w:val="5"/>
            <w:vAlign w:val="center"/>
          </w:tcPr>
          <w:p w:rsidR="0057447D" w:rsidRDefault="007A4AFA">
            <w:pPr>
              <w:numPr>
                <w:ilvl w:val="0"/>
                <w:numId w:val="4"/>
              </w:numPr>
              <w:autoSpaceDN w:val="0"/>
              <w:spacing w:line="306" w:lineRule="exact"/>
              <w:textAlignment w:val="center"/>
              <w:rPr>
                <w:rFonts w:ascii="Times New Roman" w:eastAsia="仿宋_GB2312" w:hAnsi="Times New Roman"/>
                <w:sz w:val="24"/>
              </w:rPr>
            </w:pPr>
            <w:r>
              <w:rPr>
                <w:rFonts w:ascii="Times New Roman" w:eastAsia="仿宋_GB2312" w:hAnsi="Times New Roman"/>
                <w:sz w:val="24"/>
              </w:rPr>
              <w:lastRenderedPageBreak/>
              <w:t>统一了全州医保经办服务流程。制定了全州统一的参保登记、基金征缴、待遇支付等工作流程，统一了社会办医纳入医保协议的条件及流程，统一了</w:t>
            </w:r>
            <w:r>
              <w:rPr>
                <w:rFonts w:ascii="Times New Roman" w:eastAsia="仿宋_GB2312" w:hAnsi="Times New Roman"/>
                <w:sz w:val="24"/>
              </w:rPr>
              <w:t>“</w:t>
            </w:r>
            <w:r>
              <w:rPr>
                <w:rFonts w:ascii="Times New Roman" w:eastAsia="仿宋_GB2312" w:hAnsi="Times New Roman"/>
                <w:sz w:val="24"/>
              </w:rPr>
              <w:t>两病</w:t>
            </w:r>
            <w:r>
              <w:rPr>
                <w:rFonts w:ascii="Times New Roman" w:eastAsia="仿宋_GB2312" w:hAnsi="Times New Roman"/>
                <w:sz w:val="24"/>
              </w:rPr>
              <w:t>”</w:t>
            </w:r>
            <w:r>
              <w:rPr>
                <w:rFonts w:ascii="Times New Roman" w:eastAsia="仿宋_GB2312" w:hAnsi="Times New Roman"/>
                <w:sz w:val="24"/>
              </w:rPr>
              <w:t>用药及特药报账流程。</w:t>
            </w:r>
          </w:p>
          <w:p w:rsidR="0057447D" w:rsidRDefault="007A4AFA">
            <w:pPr>
              <w:numPr>
                <w:ilvl w:val="0"/>
                <w:numId w:val="4"/>
              </w:numPr>
              <w:autoSpaceDN w:val="0"/>
              <w:spacing w:line="306" w:lineRule="exact"/>
              <w:textAlignment w:val="center"/>
              <w:rPr>
                <w:rFonts w:ascii="Times New Roman" w:eastAsia="仿宋_GB2312" w:hAnsi="Times New Roman"/>
                <w:sz w:val="24"/>
              </w:rPr>
            </w:pPr>
            <w:r>
              <w:rPr>
                <w:rFonts w:ascii="Times New Roman" w:eastAsia="仿宋_GB2312" w:hAnsi="Times New Roman"/>
                <w:bCs/>
                <w:sz w:val="24"/>
              </w:rPr>
              <w:t>统一了全州城镇职工、生育保险、城乡居民基本医疗保险基本政策。</w:t>
            </w:r>
          </w:p>
          <w:p w:rsidR="0057447D" w:rsidRDefault="007A4AFA">
            <w:pPr>
              <w:numPr>
                <w:ilvl w:val="0"/>
                <w:numId w:val="4"/>
              </w:numPr>
              <w:autoSpaceDN w:val="0"/>
              <w:spacing w:line="306" w:lineRule="exact"/>
              <w:textAlignment w:val="center"/>
              <w:rPr>
                <w:rFonts w:ascii="Times New Roman" w:eastAsia="仿宋_GB2312" w:hAnsi="Times New Roman"/>
                <w:bCs/>
                <w:sz w:val="24"/>
              </w:rPr>
            </w:pPr>
            <w:r>
              <w:rPr>
                <w:rFonts w:ascii="Times New Roman" w:eastAsia="仿宋_GB2312" w:hAnsi="Times New Roman"/>
                <w:bCs/>
                <w:sz w:val="24"/>
              </w:rPr>
              <w:t>医用耗材价格降幅大，高值耗材平均下降</w:t>
            </w:r>
            <w:r>
              <w:rPr>
                <w:rFonts w:ascii="Times New Roman" w:eastAsia="仿宋_GB2312" w:hAnsi="Times New Roman"/>
                <w:bCs/>
                <w:sz w:val="24"/>
              </w:rPr>
              <w:t>42%</w:t>
            </w:r>
            <w:r>
              <w:rPr>
                <w:rFonts w:ascii="Times New Roman" w:eastAsia="仿宋_GB2312" w:hAnsi="Times New Roman"/>
                <w:bCs/>
                <w:sz w:val="24"/>
              </w:rPr>
              <w:t>，低值耗材平均降幅</w:t>
            </w:r>
            <w:r>
              <w:rPr>
                <w:rFonts w:ascii="Times New Roman" w:eastAsia="仿宋_GB2312" w:hAnsi="Times New Roman"/>
                <w:bCs/>
                <w:sz w:val="24"/>
              </w:rPr>
              <w:t>52.4%</w:t>
            </w:r>
            <w:r>
              <w:rPr>
                <w:rFonts w:ascii="Times New Roman" w:eastAsia="仿宋_GB2312" w:hAnsi="Times New Roman"/>
                <w:bCs/>
                <w:sz w:val="24"/>
              </w:rPr>
              <w:t>。高值耗材方面，在全州统一推行骨科植入类集中配送带量采购改革，经在省公共资源交易中心公开招标采购，骨科植入类高值耗材平均下降</w:t>
            </w:r>
            <w:r>
              <w:rPr>
                <w:rFonts w:ascii="Times New Roman" w:eastAsia="仿宋_GB2312" w:hAnsi="Times New Roman"/>
                <w:bCs/>
                <w:sz w:val="24"/>
              </w:rPr>
              <w:t>42%</w:t>
            </w:r>
            <w:r>
              <w:rPr>
                <w:rFonts w:ascii="Times New Roman" w:eastAsia="仿宋_GB2312" w:hAnsi="Times New Roman"/>
                <w:bCs/>
                <w:sz w:val="24"/>
              </w:rPr>
              <w:t>。出台《关于进一步优化社会办医疗机构医保管理服务的通知》文件，在全省首次将医保协议民营医院纳入我州药品耗材平台</w:t>
            </w:r>
            <w:r>
              <w:rPr>
                <w:rFonts w:ascii="Times New Roman" w:eastAsia="仿宋_GB2312" w:hAnsi="Times New Roman"/>
                <w:bCs/>
                <w:sz w:val="24"/>
              </w:rPr>
              <w:lastRenderedPageBreak/>
              <w:t>采购、零差率销售，并按医院级别执行</w:t>
            </w:r>
            <w:r>
              <w:rPr>
                <w:rFonts w:ascii="Times New Roman" w:eastAsia="仿宋_GB2312" w:hAnsi="Times New Roman"/>
                <w:bCs/>
                <w:sz w:val="24"/>
              </w:rPr>
              <w:t>2020</w:t>
            </w:r>
            <w:r>
              <w:rPr>
                <w:rFonts w:ascii="Times New Roman" w:eastAsia="仿宋_GB2312" w:hAnsi="Times New Roman"/>
                <w:bCs/>
                <w:sz w:val="24"/>
              </w:rPr>
              <w:t>版医疗服务项目及价格，有效规范了医保协议民营医院药品耗材及服务收费管理。</w:t>
            </w:r>
          </w:p>
          <w:p w:rsidR="0057447D" w:rsidRDefault="007A4AFA">
            <w:pPr>
              <w:numPr>
                <w:ilvl w:val="0"/>
                <w:numId w:val="4"/>
              </w:numPr>
              <w:autoSpaceDN w:val="0"/>
              <w:spacing w:line="320" w:lineRule="exact"/>
              <w:textAlignment w:val="center"/>
              <w:rPr>
                <w:rFonts w:ascii="Times New Roman" w:eastAsia="仿宋_GB2312" w:hAnsi="Times New Roman"/>
                <w:bCs/>
                <w:sz w:val="24"/>
              </w:rPr>
            </w:pPr>
            <w:r>
              <w:rPr>
                <w:rFonts w:ascii="Times New Roman" w:eastAsia="仿宋_GB2312" w:hAnsi="Times New Roman"/>
                <w:sz w:val="24"/>
              </w:rPr>
              <w:t>全州医保经办机构给定点救治医院先行垫付资金</w:t>
            </w:r>
            <w:r>
              <w:rPr>
                <w:rFonts w:ascii="Times New Roman" w:eastAsia="仿宋_GB2312" w:hAnsi="Times New Roman"/>
                <w:sz w:val="24"/>
              </w:rPr>
              <w:t>5003.83</w:t>
            </w:r>
            <w:r>
              <w:rPr>
                <w:rFonts w:ascii="Times New Roman" w:eastAsia="仿宋_GB2312" w:hAnsi="Times New Roman"/>
                <w:sz w:val="24"/>
              </w:rPr>
              <w:t>万元，确保了定点救治医院不因医保控费影响救治。</w:t>
            </w:r>
          </w:p>
          <w:p w:rsidR="0057447D" w:rsidRDefault="007A4AFA">
            <w:pPr>
              <w:autoSpaceDN w:val="0"/>
              <w:spacing w:line="320" w:lineRule="exact"/>
              <w:textAlignment w:val="center"/>
              <w:rPr>
                <w:rFonts w:ascii="Times New Roman" w:eastAsia="仿宋_GB2312" w:hAnsi="Times New Roman"/>
                <w:bCs/>
                <w:sz w:val="24"/>
              </w:rPr>
            </w:pPr>
            <w:r>
              <w:rPr>
                <w:rFonts w:ascii="Times New Roman" w:eastAsia="仿宋_GB2312" w:hAnsi="Times New Roman"/>
                <w:sz w:val="24"/>
              </w:rPr>
              <w:t>5</w:t>
            </w:r>
            <w:r>
              <w:rPr>
                <w:rFonts w:ascii="Times New Roman" w:eastAsia="仿宋_GB2312" w:hAnsi="Times New Roman"/>
                <w:sz w:val="24"/>
              </w:rPr>
              <w:t>、</w:t>
            </w:r>
            <w:r>
              <w:rPr>
                <w:rFonts w:ascii="Times New Roman" w:eastAsia="仿宋_GB2312" w:hAnsi="Times New Roman"/>
                <w:bCs/>
                <w:sz w:val="24"/>
              </w:rPr>
              <w:t>及时垫付医保资金，解决医院控费后顾之忧。全年全州医保经办机构给定点救治医院先行垫付资金</w:t>
            </w:r>
            <w:r>
              <w:rPr>
                <w:rFonts w:ascii="Times New Roman" w:eastAsia="仿宋_GB2312" w:hAnsi="Times New Roman"/>
                <w:bCs/>
                <w:sz w:val="24"/>
              </w:rPr>
              <w:t>5003.83</w:t>
            </w:r>
            <w:r>
              <w:rPr>
                <w:rFonts w:ascii="Times New Roman" w:eastAsia="仿宋_GB2312" w:hAnsi="Times New Roman"/>
                <w:bCs/>
                <w:sz w:val="24"/>
              </w:rPr>
              <w:t>万元，确保了定点救治医院不因医保控费影响救治。及时报销费用，解决患者就医后顾之忧。全州新冠肺炎病人治疗费用全部由医保和财政报销，</w:t>
            </w:r>
            <w:r>
              <w:rPr>
                <w:rFonts w:ascii="Times New Roman" w:eastAsia="仿宋_GB2312" w:hAnsi="Times New Roman"/>
                <w:bCs/>
                <w:sz w:val="24"/>
              </w:rPr>
              <w:t>2020</w:t>
            </w:r>
            <w:r>
              <w:rPr>
                <w:rFonts w:ascii="Times New Roman" w:eastAsia="仿宋_GB2312" w:hAnsi="Times New Roman"/>
                <w:bCs/>
                <w:sz w:val="24"/>
              </w:rPr>
              <w:t>年，新冠肺炎患者报销费用</w:t>
            </w:r>
            <w:r>
              <w:rPr>
                <w:rFonts w:ascii="Times New Roman" w:eastAsia="仿宋_GB2312" w:hAnsi="Times New Roman"/>
                <w:bCs/>
                <w:sz w:val="24"/>
              </w:rPr>
              <w:t>6.86</w:t>
            </w:r>
            <w:r>
              <w:rPr>
                <w:rFonts w:ascii="Times New Roman" w:eastAsia="仿宋_GB2312" w:hAnsi="Times New Roman"/>
                <w:bCs/>
                <w:sz w:val="24"/>
              </w:rPr>
              <w:t>万元；疑似病人</w:t>
            </w:r>
            <w:r>
              <w:rPr>
                <w:rFonts w:ascii="Times New Roman" w:eastAsia="仿宋_GB2312" w:hAnsi="Times New Roman"/>
                <w:bCs/>
                <w:sz w:val="24"/>
              </w:rPr>
              <w:t>22</w:t>
            </w:r>
            <w:r>
              <w:rPr>
                <w:rFonts w:ascii="Times New Roman" w:eastAsia="仿宋_GB2312" w:hAnsi="Times New Roman"/>
                <w:bCs/>
                <w:sz w:val="24"/>
              </w:rPr>
              <w:t>例报销费用</w:t>
            </w:r>
            <w:r>
              <w:rPr>
                <w:rFonts w:ascii="Times New Roman" w:eastAsia="仿宋_GB2312" w:hAnsi="Times New Roman"/>
                <w:bCs/>
                <w:sz w:val="24"/>
              </w:rPr>
              <w:t>5.65</w:t>
            </w:r>
            <w:r>
              <w:rPr>
                <w:rFonts w:ascii="Times New Roman" w:eastAsia="仿宋_GB2312" w:hAnsi="Times New Roman"/>
                <w:bCs/>
                <w:sz w:val="24"/>
              </w:rPr>
              <w:t>万元，减轻了患者负责，打消了疑似患者住院疑虑。</w:t>
            </w:r>
          </w:p>
          <w:p w:rsidR="0057447D" w:rsidRDefault="007A4AFA">
            <w:pPr>
              <w:autoSpaceDN w:val="0"/>
              <w:spacing w:line="320" w:lineRule="exact"/>
              <w:textAlignment w:val="center"/>
              <w:rPr>
                <w:rFonts w:ascii="Times New Roman" w:eastAsia="仿宋_GB2312" w:hAnsi="Times New Roman"/>
                <w:bCs/>
                <w:sz w:val="24"/>
              </w:rPr>
            </w:pPr>
            <w:r>
              <w:rPr>
                <w:rFonts w:ascii="Times New Roman" w:eastAsia="仿宋_GB2312" w:hAnsi="Times New Roman"/>
                <w:bCs/>
                <w:sz w:val="24"/>
              </w:rPr>
              <w:t>6</w:t>
            </w:r>
            <w:r>
              <w:rPr>
                <w:rFonts w:ascii="Times New Roman" w:eastAsia="仿宋_GB2312" w:hAnsi="Times New Roman"/>
                <w:bCs/>
                <w:sz w:val="24"/>
              </w:rPr>
              <w:t>、统一了基金管理，实现了州级统筹基金统收统支。出台了州级统筹基金上解下拨有关事项的通知，设立州级医保基金财政专户一个。</w:t>
            </w:r>
          </w:p>
          <w:p w:rsidR="0057447D" w:rsidRDefault="007A4AFA">
            <w:pPr>
              <w:autoSpaceDN w:val="0"/>
              <w:spacing w:line="320" w:lineRule="exact"/>
              <w:textAlignment w:val="center"/>
              <w:rPr>
                <w:rFonts w:ascii="Times New Roman" w:eastAsia="仿宋_GB2312" w:hAnsi="Times New Roman"/>
                <w:bCs/>
                <w:sz w:val="24"/>
              </w:rPr>
            </w:pPr>
            <w:r>
              <w:rPr>
                <w:rFonts w:ascii="Times New Roman" w:eastAsia="仿宋_GB2312" w:hAnsi="Times New Roman"/>
                <w:bCs/>
                <w:sz w:val="24"/>
              </w:rPr>
              <w:t>7</w:t>
            </w:r>
            <w:r>
              <w:rPr>
                <w:rFonts w:ascii="Times New Roman" w:eastAsia="仿宋_GB2312" w:hAnsi="Times New Roman"/>
                <w:bCs/>
                <w:sz w:val="24"/>
              </w:rPr>
              <w:t>、实现了州域内病人在州级医疗机构住院报销</w:t>
            </w:r>
            <w:r>
              <w:rPr>
                <w:rFonts w:ascii="Times New Roman" w:eastAsia="仿宋_GB2312" w:hAnsi="Times New Roman"/>
                <w:bCs/>
                <w:sz w:val="24"/>
              </w:rPr>
              <w:t>“</w:t>
            </w:r>
            <w:r>
              <w:rPr>
                <w:rFonts w:ascii="Times New Roman" w:eastAsia="仿宋_GB2312" w:hAnsi="Times New Roman"/>
                <w:bCs/>
                <w:sz w:val="24"/>
              </w:rPr>
              <w:t>一个窗口、一个界面、一站</w:t>
            </w:r>
            <w:r>
              <w:rPr>
                <w:rFonts w:ascii="Times New Roman" w:eastAsia="仿宋_GB2312" w:hAnsi="Times New Roman"/>
                <w:bCs/>
                <w:sz w:val="24"/>
              </w:rPr>
              <w:t>”</w:t>
            </w:r>
            <w:r>
              <w:rPr>
                <w:rFonts w:ascii="Times New Roman" w:eastAsia="仿宋_GB2312" w:hAnsi="Times New Roman"/>
                <w:bCs/>
                <w:sz w:val="24"/>
              </w:rPr>
              <w:t>式结算。</w:t>
            </w:r>
          </w:p>
          <w:p w:rsidR="0057447D" w:rsidRDefault="0057447D">
            <w:pPr>
              <w:autoSpaceDN w:val="0"/>
              <w:spacing w:line="320" w:lineRule="exact"/>
              <w:textAlignment w:val="center"/>
              <w:rPr>
                <w:rFonts w:ascii="Times New Roman" w:eastAsia="仿宋_GB2312" w:hAnsi="Times New Roman"/>
                <w:sz w:val="24"/>
              </w:rPr>
            </w:pPr>
          </w:p>
          <w:p w:rsidR="0057447D" w:rsidRDefault="0057447D">
            <w:pPr>
              <w:autoSpaceDN w:val="0"/>
              <w:spacing w:line="320" w:lineRule="exact"/>
              <w:jc w:val="center"/>
              <w:textAlignment w:val="center"/>
              <w:rPr>
                <w:rFonts w:ascii="Times New Roman" w:eastAsia="仿宋_GB2312" w:hAnsi="Times New Roman"/>
                <w:b/>
                <w:sz w:val="24"/>
              </w:rPr>
            </w:pPr>
          </w:p>
        </w:tc>
      </w:tr>
      <w:tr w:rsidR="0057447D" w:rsidTr="00D80294">
        <w:trPr>
          <w:trHeight w:val="790"/>
          <w:jc w:val="center"/>
        </w:trPr>
        <w:tc>
          <w:tcPr>
            <w:tcW w:w="1578" w:type="dxa"/>
            <w:vMerge/>
            <w:vAlign w:val="center"/>
          </w:tcPr>
          <w:p w:rsidR="0057447D" w:rsidRDefault="0057447D">
            <w:pPr>
              <w:spacing w:line="320" w:lineRule="exact"/>
              <w:rPr>
                <w:rFonts w:eastAsia="仿宋_GB2312" w:cs="仿宋_GB2312"/>
                <w:sz w:val="24"/>
              </w:rPr>
            </w:pPr>
          </w:p>
        </w:tc>
        <w:tc>
          <w:tcPr>
            <w:tcW w:w="1470" w:type="dxa"/>
            <w:gridSpan w:val="3"/>
            <w:vMerge/>
            <w:vAlign w:val="center"/>
          </w:tcPr>
          <w:p w:rsidR="0057447D" w:rsidRDefault="0057447D">
            <w:pPr>
              <w:autoSpaceDN w:val="0"/>
              <w:spacing w:line="320" w:lineRule="exact"/>
              <w:jc w:val="center"/>
              <w:textAlignment w:val="center"/>
              <w:rPr>
                <w:rFonts w:eastAsia="仿宋_GB2312" w:cs="仿宋_GB2312"/>
                <w:sz w:val="24"/>
              </w:rPr>
            </w:pPr>
          </w:p>
        </w:tc>
        <w:tc>
          <w:tcPr>
            <w:tcW w:w="930" w:type="dxa"/>
            <w:vMerge/>
            <w:vAlign w:val="center"/>
          </w:tcPr>
          <w:p w:rsidR="0057447D" w:rsidRDefault="0057447D">
            <w:pPr>
              <w:autoSpaceDN w:val="0"/>
              <w:spacing w:line="320" w:lineRule="exact"/>
              <w:jc w:val="center"/>
              <w:textAlignment w:val="center"/>
              <w:rPr>
                <w:rFonts w:eastAsia="仿宋_GB2312" w:cs="仿宋_GB2312"/>
                <w:sz w:val="24"/>
              </w:rPr>
            </w:pPr>
          </w:p>
        </w:tc>
        <w:tc>
          <w:tcPr>
            <w:tcW w:w="1308" w:type="dxa"/>
            <w:tcBorders>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时效指标</w:t>
            </w:r>
          </w:p>
        </w:tc>
        <w:tc>
          <w:tcPr>
            <w:tcW w:w="2247" w:type="dxa"/>
            <w:gridSpan w:val="2"/>
            <w:tcBorders>
              <w:left w:val="single" w:sz="4" w:space="0" w:color="auto"/>
            </w:tcBorders>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截止</w:t>
            </w:r>
            <w:r>
              <w:rPr>
                <w:rFonts w:ascii="Times New Roman" w:eastAsia="仿宋_GB2312" w:hAnsi="Times New Roman"/>
                <w:sz w:val="24"/>
              </w:rPr>
              <w:t>2020</w:t>
            </w:r>
            <w:r>
              <w:rPr>
                <w:rFonts w:ascii="Times New Roman" w:eastAsia="仿宋_GB2312" w:hAnsi="Times New Roman"/>
                <w:sz w:val="24"/>
              </w:rPr>
              <w:t>年</w:t>
            </w:r>
            <w:r>
              <w:rPr>
                <w:rFonts w:ascii="Times New Roman" w:eastAsia="仿宋_GB2312" w:hAnsi="Times New Roman"/>
                <w:sz w:val="24"/>
              </w:rPr>
              <w:t>12</w:t>
            </w:r>
            <w:r>
              <w:rPr>
                <w:rFonts w:ascii="Times New Roman" w:eastAsia="仿宋_GB2312" w:hAnsi="Times New Roman"/>
                <w:sz w:val="24"/>
              </w:rPr>
              <w:t>月</w:t>
            </w:r>
            <w:r>
              <w:rPr>
                <w:rFonts w:ascii="Times New Roman" w:eastAsia="仿宋_GB2312" w:hAnsi="Times New Roman"/>
                <w:sz w:val="24"/>
              </w:rPr>
              <w:t>31</w:t>
            </w:r>
            <w:r>
              <w:rPr>
                <w:rFonts w:ascii="Times New Roman" w:eastAsia="仿宋_GB2312" w:hAnsi="Times New Roman"/>
                <w:sz w:val="24"/>
              </w:rPr>
              <w:t>日完成年初设定的绩效目标</w:t>
            </w:r>
          </w:p>
        </w:tc>
        <w:tc>
          <w:tcPr>
            <w:tcW w:w="2267" w:type="dxa"/>
            <w:gridSpan w:val="5"/>
            <w:vAlign w:val="center"/>
          </w:tcPr>
          <w:p w:rsidR="0057447D" w:rsidRDefault="007A4AFA">
            <w:pPr>
              <w:autoSpaceDN w:val="0"/>
              <w:spacing w:line="320" w:lineRule="exact"/>
              <w:jc w:val="center"/>
              <w:textAlignment w:val="center"/>
              <w:rPr>
                <w:rFonts w:ascii="Times New Roman" w:eastAsia="仿宋_GB2312" w:hAnsi="Times New Roman"/>
                <w:b/>
                <w:sz w:val="24"/>
              </w:rPr>
            </w:pPr>
            <w:r>
              <w:rPr>
                <w:rFonts w:ascii="Times New Roman" w:eastAsia="仿宋_GB2312" w:hAnsi="Times New Roman"/>
                <w:bCs/>
                <w:sz w:val="24"/>
              </w:rPr>
              <w:t>完成</w:t>
            </w:r>
          </w:p>
        </w:tc>
      </w:tr>
      <w:tr w:rsidR="0057447D" w:rsidTr="00D80294">
        <w:trPr>
          <w:trHeight w:val="2620"/>
          <w:jc w:val="center"/>
        </w:trPr>
        <w:tc>
          <w:tcPr>
            <w:tcW w:w="1578" w:type="dxa"/>
            <w:vMerge/>
            <w:vAlign w:val="center"/>
          </w:tcPr>
          <w:p w:rsidR="0057447D" w:rsidRDefault="0057447D">
            <w:pPr>
              <w:spacing w:line="320" w:lineRule="exact"/>
              <w:rPr>
                <w:rFonts w:eastAsia="仿宋_GB2312" w:cs="仿宋_GB2312"/>
                <w:sz w:val="24"/>
              </w:rPr>
            </w:pPr>
          </w:p>
        </w:tc>
        <w:tc>
          <w:tcPr>
            <w:tcW w:w="1470" w:type="dxa"/>
            <w:gridSpan w:val="3"/>
            <w:vMerge/>
            <w:vAlign w:val="center"/>
          </w:tcPr>
          <w:p w:rsidR="0057447D" w:rsidRDefault="0057447D">
            <w:pPr>
              <w:autoSpaceDN w:val="0"/>
              <w:spacing w:line="320" w:lineRule="exact"/>
              <w:jc w:val="center"/>
              <w:textAlignment w:val="center"/>
              <w:rPr>
                <w:rFonts w:eastAsia="仿宋_GB2312" w:cs="仿宋_GB2312"/>
                <w:sz w:val="24"/>
              </w:rPr>
            </w:pPr>
          </w:p>
        </w:tc>
        <w:tc>
          <w:tcPr>
            <w:tcW w:w="930" w:type="dxa"/>
            <w:vMerge/>
            <w:vAlign w:val="center"/>
          </w:tcPr>
          <w:p w:rsidR="0057447D" w:rsidRDefault="0057447D">
            <w:pPr>
              <w:autoSpaceDN w:val="0"/>
              <w:spacing w:line="320" w:lineRule="exact"/>
              <w:jc w:val="center"/>
              <w:textAlignment w:val="center"/>
              <w:rPr>
                <w:rFonts w:eastAsia="仿宋_GB2312" w:cs="仿宋_GB2312"/>
                <w:sz w:val="24"/>
              </w:rPr>
            </w:pPr>
          </w:p>
        </w:tc>
        <w:tc>
          <w:tcPr>
            <w:tcW w:w="1308" w:type="dxa"/>
            <w:tcBorders>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成本指标</w:t>
            </w:r>
          </w:p>
        </w:tc>
        <w:tc>
          <w:tcPr>
            <w:tcW w:w="2247" w:type="dxa"/>
            <w:gridSpan w:val="2"/>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不超过财政安排预算资金</w:t>
            </w:r>
          </w:p>
        </w:tc>
        <w:tc>
          <w:tcPr>
            <w:tcW w:w="2267" w:type="dxa"/>
            <w:gridSpan w:val="5"/>
            <w:vAlign w:val="center"/>
          </w:tcPr>
          <w:p w:rsidR="0057447D" w:rsidRDefault="007A4AFA">
            <w:pPr>
              <w:autoSpaceDN w:val="0"/>
              <w:spacing w:line="320" w:lineRule="exact"/>
              <w:jc w:val="center"/>
              <w:textAlignment w:val="center"/>
              <w:rPr>
                <w:rFonts w:ascii="Times New Roman" w:eastAsia="仿宋_GB2312" w:hAnsi="Times New Roman"/>
                <w:bCs/>
                <w:sz w:val="24"/>
              </w:rPr>
            </w:pPr>
            <w:r>
              <w:rPr>
                <w:rFonts w:ascii="Times New Roman" w:eastAsia="仿宋_GB2312" w:hAnsi="Times New Roman"/>
                <w:bCs/>
                <w:sz w:val="24"/>
              </w:rPr>
              <w:t>总支出控制在预算范围内</w:t>
            </w:r>
          </w:p>
        </w:tc>
      </w:tr>
      <w:tr w:rsidR="0057447D" w:rsidTr="00D80294">
        <w:trPr>
          <w:trHeight w:val="1305"/>
          <w:jc w:val="center"/>
        </w:trPr>
        <w:tc>
          <w:tcPr>
            <w:tcW w:w="1578" w:type="dxa"/>
            <w:vMerge/>
            <w:vAlign w:val="center"/>
          </w:tcPr>
          <w:p w:rsidR="0057447D" w:rsidRDefault="0057447D">
            <w:pPr>
              <w:spacing w:line="320" w:lineRule="exact"/>
              <w:rPr>
                <w:rFonts w:eastAsia="仿宋_GB2312" w:cs="仿宋_GB2312"/>
                <w:sz w:val="24"/>
              </w:rPr>
            </w:pPr>
          </w:p>
        </w:tc>
        <w:tc>
          <w:tcPr>
            <w:tcW w:w="1470" w:type="dxa"/>
            <w:gridSpan w:val="3"/>
            <w:vMerge w:val="restart"/>
            <w:vAlign w:val="center"/>
          </w:tcPr>
          <w:p w:rsidR="0057447D" w:rsidRDefault="007A4AFA">
            <w:pPr>
              <w:autoSpaceDN w:val="0"/>
              <w:spacing w:line="320" w:lineRule="exact"/>
              <w:jc w:val="center"/>
              <w:textAlignment w:val="center"/>
              <w:rPr>
                <w:rFonts w:eastAsia="仿宋_GB2312" w:cs="仿宋_GB2312"/>
                <w:spacing w:val="-11"/>
                <w:sz w:val="24"/>
              </w:rPr>
            </w:pPr>
            <w:r>
              <w:rPr>
                <w:rFonts w:eastAsia="仿宋_GB2312" w:cs="仿宋_GB2312" w:hint="eastAsia"/>
                <w:spacing w:val="-11"/>
                <w:sz w:val="24"/>
              </w:rPr>
              <w:t>效益目标</w:t>
            </w:r>
          </w:p>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pacing w:val="-11"/>
                <w:sz w:val="24"/>
              </w:rPr>
              <w:t>（预期实现的效益）</w:t>
            </w:r>
          </w:p>
        </w:tc>
        <w:tc>
          <w:tcPr>
            <w:tcW w:w="930"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社会、经济、生态效益</w:t>
            </w:r>
          </w:p>
        </w:tc>
        <w:tc>
          <w:tcPr>
            <w:tcW w:w="1308" w:type="dxa"/>
            <w:tcBorders>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降费减负</w:t>
            </w:r>
          </w:p>
        </w:tc>
        <w:tc>
          <w:tcPr>
            <w:tcW w:w="2247" w:type="dxa"/>
            <w:gridSpan w:val="2"/>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减轻群众就医费用负担</w:t>
            </w:r>
          </w:p>
        </w:tc>
        <w:tc>
          <w:tcPr>
            <w:tcW w:w="2267" w:type="dxa"/>
            <w:gridSpan w:val="5"/>
            <w:vAlign w:val="center"/>
          </w:tcPr>
          <w:p w:rsidR="0057447D" w:rsidRDefault="007A4AFA">
            <w:pPr>
              <w:autoSpaceDN w:val="0"/>
              <w:spacing w:line="320" w:lineRule="exact"/>
              <w:jc w:val="center"/>
              <w:textAlignment w:val="center"/>
              <w:rPr>
                <w:rFonts w:ascii="Times New Roman" w:eastAsia="仿宋_GB2312" w:hAnsi="Times New Roman"/>
                <w:bCs/>
                <w:sz w:val="24"/>
              </w:rPr>
            </w:pPr>
            <w:r>
              <w:rPr>
                <w:rFonts w:ascii="Times New Roman" w:eastAsia="仿宋_GB2312" w:hAnsi="Times New Roman"/>
                <w:bCs/>
                <w:sz w:val="24"/>
              </w:rPr>
              <w:t>较好</w:t>
            </w:r>
          </w:p>
        </w:tc>
      </w:tr>
      <w:tr w:rsidR="0057447D" w:rsidTr="00D80294">
        <w:trPr>
          <w:trHeight w:val="1455"/>
          <w:jc w:val="center"/>
        </w:trPr>
        <w:tc>
          <w:tcPr>
            <w:tcW w:w="1578" w:type="dxa"/>
            <w:vMerge/>
            <w:vAlign w:val="center"/>
          </w:tcPr>
          <w:p w:rsidR="0057447D" w:rsidRDefault="0057447D">
            <w:pPr>
              <w:spacing w:line="320" w:lineRule="exact"/>
              <w:rPr>
                <w:rFonts w:eastAsia="仿宋_GB2312" w:cs="仿宋_GB2312"/>
                <w:sz w:val="24"/>
              </w:rPr>
            </w:pPr>
          </w:p>
        </w:tc>
        <w:tc>
          <w:tcPr>
            <w:tcW w:w="1470" w:type="dxa"/>
            <w:gridSpan w:val="3"/>
            <w:vMerge/>
            <w:vAlign w:val="center"/>
          </w:tcPr>
          <w:p w:rsidR="0057447D" w:rsidRDefault="0057447D">
            <w:pPr>
              <w:autoSpaceDN w:val="0"/>
              <w:spacing w:line="320" w:lineRule="exact"/>
              <w:rPr>
                <w:rFonts w:eastAsia="仿宋_GB2312" w:cs="仿宋_GB2312"/>
                <w:sz w:val="24"/>
              </w:rPr>
            </w:pPr>
          </w:p>
        </w:tc>
        <w:tc>
          <w:tcPr>
            <w:tcW w:w="930"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社会公众或服务对象满意度</w:t>
            </w:r>
          </w:p>
        </w:tc>
        <w:tc>
          <w:tcPr>
            <w:tcW w:w="1308" w:type="dxa"/>
            <w:tcBorders>
              <w:right w:val="single" w:sz="4" w:space="0" w:color="auto"/>
            </w:tcBorders>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社会公众或服务对象满意度</w:t>
            </w:r>
          </w:p>
        </w:tc>
        <w:tc>
          <w:tcPr>
            <w:tcW w:w="2247" w:type="dxa"/>
            <w:gridSpan w:val="2"/>
            <w:tcBorders>
              <w:left w:val="single" w:sz="4" w:space="0" w:color="auto"/>
            </w:tcBorders>
            <w:vAlign w:val="center"/>
          </w:tcPr>
          <w:p w:rsidR="0057447D" w:rsidRDefault="007A4AFA">
            <w:pPr>
              <w:autoSpaceDN w:val="0"/>
              <w:spacing w:line="320" w:lineRule="exact"/>
              <w:jc w:val="center"/>
              <w:textAlignment w:val="center"/>
              <w:rPr>
                <w:rFonts w:ascii="Times New Roman" w:eastAsia="仿宋_GB2312" w:hAnsi="Times New Roman"/>
                <w:sz w:val="24"/>
              </w:rPr>
            </w:pPr>
            <w:r>
              <w:rPr>
                <w:rFonts w:ascii="Times New Roman" w:eastAsia="仿宋_GB2312" w:hAnsi="Times New Roman"/>
                <w:sz w:val="24"/>
              </w:rPr>
              <w:t>达到</w:t>
            </w:r>
            <w:r>
              <w:rPr>
                <w:rFonts w:ascii="Times New Roman" w:eastAsia="仿宋_GB2312" w:hAnsi="Times New Roman"/>
                <w:sz w:val="24"/>
              </w:rPr>
              <w:t>90%</w:t>
            </w:r>
          </w:p>
        </w:tc>
        <w:tc>
          <w:tcPr>
            <w:tcW w:w="2267" w:type="dxa"/>
            <w:gridSpan w:val="5"/>
            <w:vAlign w:val="center"/>
          </w:tcPr>
          <w:p w:rsidR="0057447D" w:rsidRDefault="007A4AFA">
            <w:pPr>
              <w:autoSpaceDN w:val="0"/>
              <w:spacing w:line="320" w:lineRule="exact"/>
              <w:jc w:val="center"/>
              <w:textAlignment w:val="center"/>
              <w:rPr>
                <w:rFonts w:ascii="Times New Roman" w:eastAsia="仿宋_GB2312" w:hAnsi="Times New Roman"/>
                <w:b/>
                <w:sz w:val="24"/>
              </w:rPr>
            </w:pPr>
            <w:r>
              <w:rPr>
                <w:rFonts w:ascii="Times New Roman" w:eastAsia="仿宋_GB2312" w:hAnsi="Times New Roman"/>
                <w:bCs/>
                <w:sz w:val="24"/>
              </w:rPr>
              <w:t>达</w:t>
            </w:r>
            <w:r>
              <w:rPr>
                <w:rFonts w:ascii="Times New Roman" w:eastAsia="仿宋_GB2312" w:hAnsi="Times New Roman"/>
                <w:bCs/>
                <w:sz w:val="24"/>
              </w:rPr>
              <w:t>90%</w:t>
            </w:r>
          </w:p>
        </w:tc>
      </w:tr>
      <w:tr w:rsidR="0057447D">
        <w:trPr>
          <w:trHeight w:val="1422"/>
          <w:jc w:val="center"/>
        </w:trPr>
        <w:tc>
          <w:tcPr>
            <w:tcW w:w="1578"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pacing w:val="-11"/>
                <w:sz w:val="24"/>
              </w:rPr>
              <w:t>绩效自评综合得分及评价等次</w:t>
            </w:r>
          </w:p>
        </w:tc>
        <w:tc>
          <w:tcPr>
            <w:tcW w:w="8222" w:type="dxa"/>
            <w:gridSpan w:val="12"/>
            <w:vAlign w:val="center"/>
          </w:tcPr>
          <w:p w:rsidR="0057447D" w:rsidRDefault="0057447D" w:rsidP="00D80294">
            <w:pPr>
              <w:autoSpaceDN w:val="0"/>
              <w:spacing w:line="320" w:lineRule="exact"/>
              <w:ind w:firstLineChars="200" w:firstLine="436"/>
              <w:textAlignment w:val="center"/>
              <w:rPr>
                <w:rFonts w:eastAsia="仿宋_GB2312" w:cs="仿宋_GB2312"/>
                <w:spacing w:val="-11"/>
                <w:sz w:val="24"/>
              </w:rPr>
            </w:pPr>
          </w:p>
          <w:p w:rsidR="0057447D" w:rsidRDefault="007A4AFA" w:rsidP="00D80294">
            <w:pPr>
              <w:autoSpaceDN w:val="0"/>
              <w:spacing w:line="320" w:lineRule="exact"/>
              <w:ind w:firstLineChars="200" w:firstLine="436"/>
              <w:textAlignment w:val="center"/>
              <w:rPr>
                <w:rFonts w:eastAsia="仿宋_GB2312" w:cs="仿宋_GB2312"/>
                <w:spacing w:val="-11"/>
                <w:sz w:val="24"/>
              </w:rPr>
            </w:pPr>
            <w:r>
              <w:rPr>
                <w:rFonts w:eastAsia="仿宋_GB2312" w:cs="仿宋_GB2312" w:hint="eastAsia"/>
                <w:spacing w:val="-11"/>
                <w:sz w:val="24"/>
              </w:rPr>
              <w:t>评分</w:t>
            </w:r>
            <w:r>
              <w:rPr>
                <w:rFonts w:eastAsia="仿宋_GB2312" w:cs="仿宋_GB2312" w:hint="eastAsia"/>
                <w:spacing w:val="-11"/>
                <w:sz w:val="24"/>
              </w:rPr>
              <w:t>92</w:t>
            </w:r>
            <w:r>
              <w:rPr>
                <w:rFonts w:eastAsia="仿宋_GB2312" w:cs="仿宋_GB2312" w:hint="eastAsia"/>
                <w:spacing w:val="-11"/>
                <w:sz w:val="24"/>
              </w:rPr>
              <w:t>分等级：优</w:t>
            </w:r>
          </w:p>
          <w:p w:rsidR="0057447D" w:rsidRDefault="0057447D">
            <w:pPr>
              <w:autoSpaceDN w:val="0"/>
              <w:spacing w:line="320" w:lineRule="exact"/>
              <w:jc w:val="center"/>
              <w:textAlignment w:val="center"/>
              <w:rPr>
                <w:rFonts w:eastAsia="仿宋_GB2312" w:cs="仿宋_GB2312"/>
                <w:spacing w:val="-11"/>
                <w:sz w:val="24"/>
              </w:rPr>
            </w:pPr>
          </w:p>
          <w:p w:rsidR="0057447D" w:rsidRDefault="007A4AFA">
            <w:pPr>
              <w:autoSpaceDN w:val="0"/>
              <w:spacing w:line="320" w:lineRule="exact"/>
              <w:textAlignment w:val="center"/>
              <w:rPr>
                <w:rFonts w:eastAsia="仿宋_GB2312" w:cs="仿宋_GB2312"/>
                <w:spacing w:val="-11"/>
                <w:sz w:val="24"/>
              </w:rPr>
            </w:pPr>
            <w:r>
              <w:rPr>
                <w:rFonts w:eastAsia="仿宋_GB2312" w:cs="仿宋_GB2312" w:hint="eastAsia"/>
                <w:spacing w:val="-11"/>
                <w:sz w:val="24"/>
              </w:rPr>
              <w:t>备注：</w:t>
            </w:r>
            <w:r>
              <w:rPr>
                <w:rFonts w:eastAsia="仿宋_GB2312" w:cs="仿宋_GB2312" w:hint="eastAsia"/>
                <w:spacing w:val="-11"/>
                <w:sz w:val="24"/>
              </w:rPr>
              <w:t>90</w:t>
            </w:r>
            <w:r>
              <w:rPr>
                <w:rFonts w:eastAsia="仿宋_GB2312" w:cs="仿宋_GB2312" w:hint="eastAsia"/>
                <w:spacing w:val="-11"/>
                <w:sz w:val="24"/>
              </w:rPr>
              <w:t>（含）—</w:t>
            </w:r>
            <w:r>
              <w:rPr>
                <w:rFonts w:eastAsia="仿宋_GB2312" w:cs="仿宋_GB2312" w:hint="eastAsia"/>
                <w:spacing w:val="-11"/>
                <w:sz w:val="24"/>
              </w:rPr>
              <w:t>100</w:t>
            </w:r>
            <w:r>
              <w:rPr>
                <w:rFonts w:eastAsia="仿宋_GB2312" w:cs="仿宋_GB2312" w:hint="eastAsia"/>
                <w:spacing w:val="-11"/>
                <w:sz w:val="24"/>
              </w:rPr>
              <w:t>分为优；</w:t>
            </w:r>
            <w:r>
              <w:rPr>
                <w:rFonts w:eastAsia="仿宋_GB2312" w:cs="仿宋_GB2312" w:hint="eastAsia"/>
                <w:spacing w:val="-11"/>
                <w:sz w:val="24"/>
              </w:rPr>
              <w:t>80</w:t>
            </w:r>
            <w:r>
              <w:rPr>
                <w:rFonts w:eastAsia="仿宋_GB2312" w:cs="仿宋_GB2312" w:hint="eastAsia"/>
                <w:spacing w:val="-11"/>
                <w:sz w:val="24"/>
              </w:rPr>
              <w:t>（含）—</w:t>
            </w:r>
            <w:r>
              <w:rPr>
                <w:rFonts w:eastAsia="仿宋_GB2312" w:cs="仿宋_GB2312" w:hint="eastAsia"/>
                <w:spacing w:val="-11"/>
                <w:sz w:val="24"/>
              </w:rPr>
              <w:t>90</w:t>
            </w:r>
            <w:r>
              <w:rPr>
                <w:rFonts w:eastAsia="仿宋_GB2312" w:cs="仿宋_GB2312" w:hint="eastAsia"/>
                <w:spacing w:val="-11"/>
                <w:sz w:val="24"/>
              </w:rPr>
              <w:t>分为良；</w:t>
            </w:r>
            <w:r>
              <w:rPr>
                <w:rFonts w:eastAsia="仿宋_GB2312" w:cs="仿宋_GB2312" w:hint="eastAsia"/>
                <w:spacing w:val="-11"/>
                <w:sz w:val="24"/>
              </w:rPr>
              <w:t xml:space="preserve"> 60</w:t>
            </w:r>
            <w:r>
              <w:rPr>
                <w:rFonts w:eastAsia="仿宋_GB2312" w:cs="仿宋_GB2312" w:hint="eastAsia"/>
                <w:spacing w:val="-11"/>
                <w:sz w:val="24"/>
              </w:rPr>
              <w:t>（含）—</w:t>
            </w:r>
            <w:r>
              <w:rPr>
                <w:rFonts w:eastAsia="仿宋_GB2312" w:cs="仿宋_GB2312" w:hint="eastAsia"/>
                <w:spacing w:val="-11"/>
                <w:sz w:val="24"/>
              </w:rPr>
              <w:t xml:space="preserve">80 </w:t>
            </w:r>
            <w:r>
              <w:rPr>
                <w:rFonts w:eastAsia="仿宋_GB2312" w:cs="仿宋_GB2312" w:hint="eastAsia"/>
                <w:spacing w:val="-11"/>
                <w:sz w:val="24"/>
              </w:rPr>
              <w:t>分为较差；</w:t>
            </w:r>
            <w:r>
              <w:rPr>
                <w:rFonts w:eastAsia="仿宋_GB2312" w:cs="仿宋_GB2312" w:hint="eastAsia"/>
                <w:spacing w:val="-11"/>
                <w:sz w:val="24"/>
              </w:rPr>
              <w:t>60</w:t>
            </w:r>
            <w:r>
              <w:rPr>
                <w:rFonts w:eastAsia="仿宋_GB2312" w:cs="仿宋_GB2312" w:hint="eastAsia"/>
                <w:spacing w:val="-11"/>
                <w:sz w:val="24"/>
              </w:rPr>
              <w:t>分以下为差。</w:t>
            </w:r>
          </w:p>
          <w:p w:rsidR="0057447D" w:rsidRDefault="0057447D">
            <w:pPr>
              <w:pStyle w:val="a5"/>
            </w:pPr>
          </w:p>
        </w:tc>
      </w:tr>
      <w:tr w:rsidR="0057447D">
        <w:trPr>
          <w:trHeight w:val="550"/>
          <w:jc w:val="center"/>
        </w:trPr>
        <w:tc>
          <w:tcPr>
            <w:tcW w:w="9800" w:type="dxa"/>
            <w:gridSpan w:val="13"/>
            <w:vAlign w:val="center"/>
          </w:tcPr>
          <w:p w:rsidR="0057447D" w:rsidRDefault="007A4AFA">
            <w:pPr>
              <w:autoSpaceDN w:val="0"/>
              <w:spacing w:line="320" w:lineRule="exact"/>
              <w:jc w:val="center"/>
              <w:textAlignment w:val="center"/>
              <w:rPr>
                <w:rFonts w:eastAsia="仿宋_GB2312" w:cs="仿宋_GB2312"/>
                <w:sz w:val="24"/>
              </w:rPr>
            </w:pPr>
            <w:r>
              <w:rPr>
                <w:rFonts w:eastAsia="黑体" w:cs="黑体" w:hint="eastAsia"/>
                <w:sz w:val="28"/>
                <w:szCs w:val="28"/>
              </w:rPr>
              <w:t>四、评价人员</w:t>
            </w:r>
          </w:p>
        </w:tc>
      </w:tr>
      <w:tr w:rsidR="0057447D" w:rsidTr="00D80294">
        <w:trPr>
          <w:trHeight w:val="567"/>
          <w:jc w:val="center"/>
        </w:trPr>
        <w:tc>
          <w:tcPr>
            <w:tcW w:w="1578" w:type="dxa"/>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姓名</w:t>
            </w:r>
          </w:p>
        </w:tc>
        <w:tc>
          <w:tcPr>
            <w:tcW w:w="3708" w:type="dxa"/>
            <w:gridSpan w:val="5"/>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职务</w:t>
            </w:r>
            <w:r>
              <w:rPr>
                <w:rFonts w:eastAsia="仿宋_GB2312" w:cs="仿宋_GB2312" w:hint="eastAsia"/>
                <w:sz w:val="24"/>
              </w:rPr>
              <w:t>/</w:t>
            </w:r>
            <w:r>
              <w:rPr>
                <w:rFonts w:eastAsia="仿宋_GB2312" w:cs="仿宋_GB2312" w:hint="eastAsia"/>
                <w:sz w:val="24"/>
              </w:rPr>
              <w:t>职称</w:t>
            </w:r>
          </w:p>
        </w:tc>
        <w:tc>
          <w:tcPr>
            <w:tcW w:w="2247" w:type="dxa"/>
            <w:gridSpan w:val="2"/>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单位</w:t>
            </w:r>
          </w:p>
        </w:tc>
        <w:tc>
          <w:tcPr>
            <w:tcW w:w="2267" w:type="dxa"/>
            <w:gridSpan w:val="5"/>
            <w:vAlign w:val="center"/>
          </w:tcPr>
          <w:p w:rsidR="0057447D" w:rsidRDefault="007A4AFA">
            <w:pPr>
              <w:autoSpaceDN w:val="0"/>
              <w:spacing w:line="320" w:lineRule="exact"/>
              <w:jc w:val="center"/>
              <w:textAlignment w:val="center"/>
              <w:rPr>
                <w:rFonts w:eastAsia="仿宋_GB2312" w:cs="仿宋_GB2312"/>
                <w:sz w:val="24"/>
              </w:rPr>
            </w:pPr>
            <w:r>
              <w:rPr>
                <w:rFonts w:eastAsia="仿宋_GB2312" w:cs="仿宋_GB2312" w:hint="eastAsia"/>
                <w:sz w:val="24"/>
              </w:rPr>
              <w:t>签字</w:t>
            </w:r>
          </w:p>
        </w:tc>
      </w:tr>
      <w:tr w:rsidR="0057447D" w:rsidTr="00D80294">
        <w:trPr>
          <w:trHeight w:hRule="exact" w:val="544"/>
          <w:jc w:val="center"/>
        </w:trPr>
        <w:tc>
          <w:tcPr>
            <w:tcW w:w="1578" w:type="dxa"/>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刘洪</w:t>
            </w:r>
          </w:p>
        </w:tc>
        <w:tc>
          <w:tcPr>
            <w:tcW w:w="3708" w:type="dxa"/>
            <w:gridSpan w:val="5"/>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副局长</w:t>
            </w:r>
          </w:p>
        </w:tc>
        <w:tc>
          <w:tcPr>
            <w:tcW w:w="2247" w:type="dxa"/>
            <w:gridSpan w:val="2"/>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州医疗保障局</w:t>
            </w:r>
          </w:p>
        </w:tc>
        <w:tc>
          <w:tcPr>
            <w:tcW w:w="2267" w:type="dxa"/>
            <w:gridSpan w:val="5"/>
            <w:vAlign w:val="center"/>
          </w:tcPr>
          <w:p w:rsidR="0057447D" w:rsidRDefault="0057447D">
            <w:pPr>
              <w:autoSpaceDN w:val="0"/>
              <w:spacing w:line="300" w:lineRule="exact"/>
              <w:jc w:val="center"/>
              <w:textAlignment w:val="center"/>
              <w:rPr>
                <w:rFonts w:eastAsia="仿宋_GB2312" w:cs="仿宋_GB2312"/>
                <w:sz w:val="24"/>
              </w:rPr>
            </w:pPr>
          </w:p>
        </w:tc>
      </w:tr>
      <w:tr w:rsidR="0057447D" w:rsidTr="00D80294">
        <w:trPr>
          <w:trHeight w:hRule="exact" w:val="544"/>
          <w:jc w:val="center"/>
        </w:trPr>
        <w:tc>
          <w:tcPr>
            <w:tcW w:w="1578" w:type="dxa"/>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万厚平</w:t>
            </w:r>
          </w:p>
        </w:tc>
        <w:tc>
          <w:tcPr>
            <w:tcW w:w="3708" w:type="dxa"/>
            <w:gridSpan w:val="5"/>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主任</w:t>
            </w:r>
          </w:p>
        </w:tc>
        <w:tc>
          <w:tcPr>
            <w:tcW w:w="2247" w:type="dxa"/>
            <w:gridSpan w:val="2"/>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州医疗保障事务中心</w:t>
            </w:r>
          </w:p>
        </w:tc>
        <w:tc>
          <w:tcPr>
            <w:tcW w:w="2267" w:type="dxa"/>
            <w:gridSpan w:val="5"/>
            <w:vAlign w:val="center"/>
          </w:tcPr>
          <w:p w:rsidR="0057447D" w:rsidRDefault="0057447D">
            <w:pPr>
              <w:autoSpaceDN w:val="0"/>
              <w:spacing w:line="300" w:lineRule="exact"/>
              <w:jc w:val="center"/>
              <w:textAlignment w:val="center"/>
              <w:rPr>
                <w:rFonts w:eastAsia="仿宋_GB2312" w:cs="仿宋_GB2312"/>
                <w:sz w:val="24"/>
              </w:rPr>
            </w:pPr>
          </w:p>
        </w:tc>
      </w:tr>
      <w:tr w:rsidR="0057447D" w:rsidTr="00D80294">
        <w:trPr>
          <w:trHeight w:hRule="exact" w:val="544"/>
          <w:jc w:val="center"/>
        </w:trPr>
        <w:tc>
          <w:tcPr>
            <w:tcW w:w="1578" w:type="dxa"/>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孙艳嵘</w:t>
            </w:r>
          </w:p>
        </w:tc>
        <w:tc>
          <w:tcPr>
            <w:tcW w:w="3708" w:type="dxa"/>
            <w:gridSpan w:val="5"/>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党建办主任</w:t>
            </w:r>
          </w:p>
        </w:tc>
        <w:tc>
          <w:tcPr>
            <w:tcW w:w="2247" w:type="dxa"/>
            <w:gridSpan w:val="2"/>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州医疗保障局</w:t>
            </w:r>
          </w:p>
        </w:tc>
        <w:tc>
          <w:tcPr>
            <w:tcW w:w="2267" w:type="dxa"/>
            <w:gridSpan w:val="5"/>
            <w:vAlign w:val="center"/>
          </w:tcPr>
          <w:p w:rsidR="0057447D" w:rsidRDefault="0057447D">
            <w:pPr>
              <w:autoSpaceDN w:val="0"/>
              <w:spacing w:line="300" w:lineRule="exact"/>
              <w:jc w:val="center"/>
              <w:textAlignment w:val="center"/>
              <w:rPr>
                <w:rFonts w:eastAsia="仿宋_GB2312" w:cs="仿宋_GB2312"/>
                <w:sz w:val="24"/>
              </w:rPr>
            </w:pPr>
          </w:p>
        </w:tc>
      </w:tr>
      <w:tr w:rsidR="0057447D" w:rsidTr="00D80294">
        <w:trPr>
          <w:trHeight w:hRule="exact" w:val="544"/>
          <w:jc w:val="center"/>
        </w:trPr>
        <w:tc>
          <w:tcPr>
            <w:tcW w:w="1578" w:type="dxa"/>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张新强</w:t>
            </w:r>
          </w:p>
        </w:tc>
        <w:tc>
          <w:tcPr>
            <w:tcW w:w="3708" w:type="dxa"/>
            <w:gridSpan w:val="5"/>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综合科负责人</w:t>
            </w:r>
          </w:p>
        </w:tc>
        <w:tc>
          <w:tcPr>
            <w:tcW w:w="2247" w:type="dxa"/>
            <w:gridSpan w:val="2"/>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州医疗保障局</w:t>
            </w:r>
          </w:p>
        </w:tc>
        <w:tc>
          <w:tcPr>
            <w:tcW w:w="2267" w:type="dxa"/>
            <w:gridSpan w:val="5"/>
            <w:vAlign w:val="center"/>
          </w:tcPr>
          <w:p w:rsidR="0057447D" w:rsidRDefault="0057447D">
            <w:pPr>
              <w:autoSpaceDN w:val="0"/>
              <w:spacing w:line="300" w:lineRule="exact"/>
              <w:jc w:val="center"/>
              <w:textAlignment w:val="center"/>
              <w:rPr>
                <w:rFonts w:eastAsia="仿宋_GB2312" w:cs="仿宋_GB2312"/>
                <w:sz w:val="24"/>
              </w:rPr>
            </w:pPr>
          </w:p>
        </w:tc>
      </w:tr>
      <w:tr w:rsidR="0057447D" w:rsidTr="00D80294">
        <w:trPr>
          <w:trHeight w:hRule="exact" w:val="544"/>
          <w:jc w:val="center"/>
        </w:trPr>
        <w:tc>
          <w:tcPr>
            <w:tcW w:w="1578" w:type="dxa"/>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文晓辉</w:t>
            </w:r>
          </w:p>
        </w:tc>
        <w:tc>
          <w:tcPr>
            <w:tcW w:w="3708" w:type="dxa"/>
            <w:gridSpan w:val="5"/>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待遇保障</w:t>
            </w:r>
            <w:r w:rsidR="00D80294">
              <w:rPr>
                <w:rFonts w:eastAsia="仿宋_GB2312" w:cs="仿宋_GB2312" w:hint="eastAsia"/>
                <w:sz w:val="24"/>
              </w:rPr>
              <w:t>和医药服务管理</w:t>
            </w:r>
            <w:r>
              <w:rPr>
                <w:rFonts w:eastAsia="仿宋_GB2312" w:cs="仿宋_GB2312" w:hint="eastAsia"/>
                <w:sz w:val="24"/>
              </w:rPr>
              <w:t>科负责人</w:t>
            </w:r>
          </w:p>
        </w:tc>
        <w:tc>
          <w:tcPr>
            <w:tcW w:w="2247" w:type="dxa"/>
            <w:gridSpan w:val="2"/>
            <w:vAlign w:val="center"/>
          </w:tcPr>
          <w:p w:rsidR="0057447D" w:rsidRDefault="00D80294">
            <w:pPr>
              <w:autoSpaceDN w:val="0"/>
              <w:spacing w:line="300" w:lineRule="exact"/>
              <w:jc w:val="center"/>
              <w:textAlignment w:val="center"/>
              <w:rPr>
                <w:rFonts w:eastAsia="仿宋_GB2312" w:cs="仿宋_GB2312"/>
                <w:sz w:val="24"/>
              </w:rPr>
            </w:pPr>
            <w:r>
              <w:rPr>
                <w:rFonts w:eastAsia="仿宋_GB2312" w:cs="仿宋_GB2312" w:hint="eastAsia"/>
                <w:sz w:val="24"/>
              </w:rPr>
              <w:t>州医疗保障局</w:t>
            </w:r>
          </w:p>
        </w:tc>
        <w:tc>
          <w:tcPr>
            <w:tcW w:w="2267" w:type="dxa"/>
            <w:gridSpan w:val="5"/>
            <w:vAlign w:val="center"/>
          </w:tcPr>
          <w:p w:rsidR="0057447D" w:rsidRDefault="0057447D">
            <w:pPr>
              <w:autoSpaceDN w:val="0"/>
              <w:spacing w:line="300" w:lineRule="exact"/>
              <w:jc w:val="center"/>
              <w:textAlignment w:val="center"/>
              <w:rPr>
                <w:rFonts w:eastAsia="仿宋_GB2312" w:cs="仿宋_GB2312"/>
                <w:sz w:val="24"/>
              </w:rPr>
            </w:pPr>
          </w:p>
        </w:tc>
      </w:tr>
      <w:tr w:rsidR="0057447D" w:rsidTr="00D80294">
        <w:trPr>
          <w:trHeight w:hRule="exact" w:val="544"/>
          <w:jc w:val="center"/>
        </w:trPr>
        <w:tc>
          <w:tcPr>
            <w:tcW w:w="1578" w:type="dxa"/>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彭胜勇</w:t>
            </w:r>
          </w:p>
        </w:tc>
        <w:tc>
          <w:tcPr>
            <w:tcW w:w="3708" w:type="dxa"/>
            <w:gridSpan w:val="5"/>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基金监管</w:t>
            </w:r>
            <w:r w:rsidR="00D80294">
              <w:rPr>
                <w:rFonts w:eastAsia="仿宋_GB2312" w:cs="仿宋_GB2312" w:hint="eastAsia"/>
                <w:sz w:val="24"/>
              </w:rPr>
              <w:t>科</w:t>
            </w:r>
            <w:r>
              <w:rPr>
                <w:rFonts w:eastAsia="仿宋_GB2312" w:cs="仿宋_GB2312" w:hint="eastAsia"/>
                <w:sz w:val="24"/>
              </w:rPr>
              <w:t>负责人</w:t>
            </w:r>
          </w:p>
        </w:tc>
        <w:tc>
          <w:tcPr>
            <w:tcW w:w="2247" w:type="dxa"/>
            <w:gridSpan w:val="2"/>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州医疗保障局</w:t>
            </w:r>
          </w:p>
        </w:tc>
        <w:tc>
          <w:tcPr>
            <w:tcW w:w="2267" w:type="dxa"/>
            <w:gridSpan w:val="5"/>
            <w:vAlign w:val="center"/>
          </w:tcPr>
          <w:p w:rsidR="0057447D" w:rsidRDefault="0057447D">
            <w:pPr>
              <w:autoSpaceDN w:val="0"/>
              <w:spacing w:line="300" w:lineRule="exact"/>
              <w:jc w:val="center"/>
              <w:textAlignment w:val="center"/>
              <w:rPr>
                <w:rFonts w:eastAsia="仿宋_GB2312" w:cs="仿宋_GB2312"/>
                <w:sz w:val="24"/>
              </w:rPr>
            </w:pPr>
          </w:p>
        </w:tc>
      </w:tr>
      <w:tr w:rsidR="0057447D" w:rsidTr="00D80294">
        <w:trPr>
          <w:trHeight w:hRule="exact" w:val="544"/>
          <w:jc w:val="center"/>
        </w:trPr>
        <w:tc>
          <w:tcPr>
            <w:tcW w:w="1578" w:type="dxa"/>
            <w:vAlign w:val="center"/>
          </w:tcPr>
          <w:p w:rsidR="0057447D" w:rsidRDefault="007A4AFA">
            <w:pPr>
              <w:autoSpaceDN w:val="0"/>
              <w:spacing w:line="300" w:lineRule="exact"/>
              <w:jc w:val="center"/>
              <w:textAlignment w:val="center"/>
              <w:rPr>
                <w:rFonts w:eastAsia="仿宋_GB2312" w:cs="仿宋_GB2312"/>
                <w:sz w:val="24"/>
              </w:rPr>
            </w:pPr>
            <w:r>
              <w:rPr>
                <w:rFonts w:eastAsia="仿宋_GB2312" w:cs="仿宋_GB2312" w:hint="eastAsia"/>
                <w:sz w:val="24"/>
              </w:rPr>
              <w:t>向辉</w:t>
            </w:r>
          </w:p>
        </w:tc>
        <w:tc>
          <w:tcPr>
            <w:tcW w:w="3708" w:type="dxa"/>
            <w:gridSpan w:val="5"/>
            <w:vAlign w:val="center"/>
          </w:tcPr>
          <w:p w:rsidR="0057447D" w:rsidRDefault="007A4AFA" w:rsidP="00D80294">
            <w:pPr>
              <w:autoSpaceDN w:val="0"/>
              <w:spacing w:line="300" w:lineRule="exact"/>
              <w:jc w:val="center"/>
              <w:textAlignment w:val="center"/>
              <w:rPr>
                <w:rFonts w:eastAsia="仿宋_GB2312" w:cs="仿宋_GB2312"/>
                <w:sz w:val="24"/>
              </w:rPr>
            </w:pPr>
            <w:r>
              <w:rPr>
                <w:rFonts w:eastAsia="仿宋_GB2312" w:cs="仿宋_GB2312" w:hint="eastAsia"/>
                <w:sz w:val="24"/>
              </w:rPr>
              <w:t>医药价格和</w:t>
            </w:r>
            <w:r w:rsidR="00D80294">
              <w:rPr>
                <w:rFonts w:eastAsia="仿宋_GB2312" w:cs="仿宋_GB2312" w:hint="eastAsia"/>
                <w:sz w:val="24"/>
              </w:rPr>
              <w:t>招标采购科</w:t>
            </w:r>
            <w:r>
              <w:rPr>
                <w:rFonts w:eastAsia="仿宋_GB2312" w:cs="仿宋_GB2312" w:hint="eastAsia"/>
                <w:sz w:val="24"/>
              </w:rPr>
              <w:t>负责人</w:t>
            </w:r>
          </w:p>
        </w:tc>
        <w:tc>
          <w:tcPr>
            <w:tcW w:w="2247" w:type="dxa"/>
            <w:gridSpan w:val="2"/>
            <w:vAlign w:val="center"/>
          </w:tcPr>
          <w:p w:rsidR="0057447D" w:rsidRDefault="00D80294">
            <w:pPr>
              <w:autoSpaceDN w:val="0"/>
              <w:spacing w:line="300" w:lineRule="exact"/>
              <w:jc w:val="center"/>
              <w:textAlignment w:val="center"/>
              <w:rPr>
                <w:rFonts w:eastAsia="仿宋_GB2312" w:cs="仿宋_GB2312"/>
                <w:sz w:val="24"/>
              </w:rPr>
            </w:pPr>
            <w:r>
              <w:rPr>
                <w:rFonts w:eastAsia="仿宋_GB2312" w:cs="仿宋_GB2312" w:hint="eastAsia"/>
                <w:sz w:val="24"/>
              </w:rPr>
              <w:t>州医疗保障局</w:t>
            </w:r>
          </w:p>
        </w:tc>
        <w:tc>
          <w:tcPr>
            <w:tcW w:w="2267" w:type="dxa"/>
            <w:gridSpan w:val="5"/>
            <w:vAlign w:val="center"/>
          </w:tcPr>
          <w:p w:rsidR="0057447D" w:rsidRDefault="0057447D">
            <w:pPr>
              <w:autoSpaceDN w:val="0"/>
              <w:spacing w:line="300" w:lineRule="exact"/>
              <w:jc w:val="center"/>
              <w:textAlignment w:val="center"/>
              <w:rPr>
                <w:rFonts w:eastAsia="仿宋_GB2312" w:cs="仿宋_GB2312"/>
                <w:sz w:val="24"/>
              </w:rPr>
            </w:pPr>
          </w:p>
        </w:tc>
      </w:tr>
      <w:tr w:rsidR="0057447D">
        <w:trPr>
          <w:trHeight w:val="2730"/>
          <w:jc w:val="center"/>
        </w:trPr>
        <w:tc>
          <w:tcPr>
            <w:tcW w:w="9800" w:type="dxa"/>
            <w:gridSpan w:val="13"/>
            <w:vAlign w:val="center"/>
          </w:tcPr>
          <w:p w:rsidR="0057447D" w:rsidRDefault="007A4AFA">
            <w:pPr>
              <w:autoSpaceDN w:val="0"/>
              <w:spacing w:line="320" w:lineRule="exact"/>
              <w:jc w:val="left"/>
              <w:textAlignment w:val="center"/>
              <w:rPr>
                <w:rFonts w:eastAsia="仿宋_GB2312" w:cs="仿宋_GB2312"/>
                <w:sz w:val="24"/>
              </w:rPr>
            </w:pPr>
            <w:r>
              <w:rPr>
                <w:rFonts w:eastAsia="仿宋_GB2312" w:cs="仿宋_GB2312" w:hint="eastAsia"/>
                <w:sz w:val="24"/>
              </w:rPr>
              <w:lastRenderedPageBreak/>
              <w:t>评价组组长签署意见：</w:t>
            </w:r>
          </w:p>
          <w:p w:rsidR="0057447D" w:rsidRDefault="0057447D">
            <w:pPr>
              <w:autoSpaceDN w:val="0"/>
              <w:spacing w:line="320" w:lineRule="exact"/>
              <w:jc w:val="left"/>
              <w:textAlignment w:val="center"/>
              <w:rPr>
                <w:rFonts w:eastAsia="仿宋_GB2312" w:cs="仿宋_GB2312"/>
                <w:sz w:val="24"/>
              </w:rPr>
            </w:pPr>
          </w:p>
          <w:p w:rsidR="0057447D" w:rsidRDefault="0057447D">
            <w:pPr>
              <w:autoSpaceDN w:val="0"/>
              <w:spacing w:line="320" w:lineRule="exact"/>
              <w:jc w:val="left"/>
              <w:textAlignment w:val="center"/>
              <w:rPr>
                <w:rFonts w:eastAsia="仿宋_GB2312" w:cs="仿宋_GB2312"/>
                <w:sz w:val="24"/>
              </w:rPr>
            </w:pPr>
          </w:p>
          <w:p w:rsidR="0057447D" w:rsidRDefault="0057447D">
            <w:pPr>
              <w:autoSpaceDN w:val="0"/>
              <w:spacing w:line="320" w:lineRule="exact"/>
              <w:jc w:val="left"/>
              <w:textAlignment w:val="center"/>
              <w:rPr>
                <w:rFonts w:eastAsia="仿宋_GB2312" w:cs="仿宋_GB2312"/>
                <w:sz w:val="24"/>
              </w:rPr>
            </w:pPr>
          </w:p>
          <w:p w:rsidR="0057447D" w:rsidRDefault="0057447D">
            <w:pPr>
              <w:autoSpaceDN w:val="0"/>
              <w:spacing w:line="320" w:lineRule="exact"/>
              <w:jc w:val="left"/>
              <w:textAlignment w:val="center"/>
              <w:rPr>
                <w:rFonts w:eastAsia="仿宋_GB2312" w:cs="仿宋_GB2312"/>
                <w:sz w:val="24"/>
              </w:rPr>
            </w:pPr>
          </w:p>
          <w:p w:rsidR="0057447D" w:rsidRDefault="007A4AFA" w:rsidP="00D80294">
            <w:pPr>
              <w:autoSpaceDN w:val="0"/>
              <w:spacing w:line="320" w:lineRule="exact"/>
              <w:ind w:firstLineChars="2400" w:firstLine="5760"/>
              <w:jc w:val="left"/>
              <w:textAlignment w:val="center"/>
              <w:rPr>
                <w:rFonts w:eastAsia="仿宋_GB2312" w:cs="仿宋_GB2312"/>
                <w:sz w:val="24"/>
              </w:rPr>
            </w:pPr>
            <w:r>
              <w:rPr>
                <w:rFonts w:eastAsia="仿宋_GB2312" w:cs="仿宋_GB2312" w:hint="eastAsia"/>
                <w:sz w:val="24"/>
              </w:rPr>
              <w:t>评价组组长（签字）：</w:t>
            </w:r>
          </w:p>
          <w:p w:rsidR="0057447D" w:rsidRDefault="0057447D">
            <w:pPr>
              <w:autoSpaceDN w:val="0"/>
              <w:spacing w:line="320" w:lineRule="exact"/>
              <w:jc w:val="left"/>
              <w:textAlignment w:val="center"/>
              <w:rPr>
                <w:rFonts w:eastAsia="仿宋_GB2312" w:cs="仿宋_GB2312"/>
                <w:sz w:val="24"/>
              </w:rPr>
            </w:pPr>
          </w:p>
          <w:p w:rsidR="0057447D" w:rsidRDefault="007A4AFA">
            <w:pPr>
              <w:autoSpaceDN w:val="0"/>
              <w:spacing w:line="320" w:lineRule="exact"/>
              <w:jc w:val="left"/>
              <w:textAlignment w:val="center"/>
              <w:rPr>
                <w:rFonts w:eastAsia="仿宋_GB2312" w:cs="仿宋_GB2312"/>
                <w:sz w:val="24"/>
              </w:rPr>
            </w:pPr>
            <w:r>
              <w:rPr>
                <w:rFonts w:eastAsia="仿宋_GB2312" w:cs="仿宋_GB2312" w:hint="eastAsia"/>
                <w:sz w:val="24"/>
              </w:rPr>
              <w:t>年月日</w:t>
            </w:r>
          </w:p>
        </w:tc>
      </w:tr>
      <w:tr w:rsidR="0057447D">
        <w:trPr>
          <w:trHeight w:val="2997"/>
          <w:jc w:val="center"/>
        </w:trPr>
        <w:tc>
          <w:tcPr>
            <w:tcW w:w="9800" w:type="dxa"/>
            <w:gridSpan w:val="13"/>
            <w:vAlign w:val="center"/>
          </w:tcPr>
          <w:p w:rsidR="0057447D" w:rsidRDefault="007A4AFA">
            <w:pPr>
              <w:autoSpaceDN w:val="0"/>
              <w:spacing w:line="320" w:lineRule="exact"/>
              <w:jc w:val="left"/>
              <w:textAlignment w:val="center"/>
              <w:rPr>
                <w:rFonts w:eastAsia="仿宋_GB2312" w:cs="仿宋_GB2312"/>
                <w:sz w:val="24"/>
              </w:rPr>
            </w:pPr>
            <w:r>
              <w:rPr>
                <w:rFonts w:eastAsia="仿宋_GB2312" w:cs="仿宋_GB2312" w:hint="eastAsia"/>
                <w:sz w:val="24"/>
              </w:rPr>
              <w:t>部门（单位）意见：</w:t>
            </w:r>
          </w:p>
          <w:p w:rsidR="0057447D" w:rsidRDefault="0057447D">
            <w:pPr>
              <w:autoSpaceDN w:val="0"/>
              <w:spacing w:line="320" w:lineRule="exact"/>
              <w:jc w:val="left"/>
              <w:textAlignment w:val="center"/>
              <w:rPr>
                <w:rFonts w:eastAsia="仿宋_GB2312" w:cs="仿宋_GB2312"/>
                <w:sz w:val="24"/>
              </w:rPr>
            </w:pPr>
          </w:p>
          <w:p w:rsidR="0057447D" w:rsidRDefault="0057447D">
            <w:pPr>
              <w:autoSpaceDN w:val="0"/>
              <w:spacing w:line="320" w:lineRule="exact"/>
              <w:jc w:val="left"/>
              <w:textAlignment w:val="center"/>
              <w:rPr>
                <w:rFonts w:eastAsia="仿宋_GB2312" w:cs="仿宋_GB2312"/>
                <w:sz w:val="24"/>
              </w:rPr>
            </w:pPr>
          </w:p>
          <w:p w:rsidR="0057447D" w:rsidRDefault="0057447D">
            <w:pPr>
              <w:autoSpaceDN w:val="0"/>
              <w:spacing w:line="320" w:lineRule="exact"/>
              <w:jc w:val="left"/>
              <w:textAlignment w:val="center"/>
              <w:rPr>
                <w:rFonts w:eastAsia="仿宋_GB2312" w:cs="仿宋_GB2312"/>
                <w:sz w:val="24"/>
              </w:rPr>
            </w:pPr>
          </w:p>
          <w:p w:rsidR="0057447D" w:rsidRDefault="0057447D">
            <w:pPr>
              <w:autoSpaceDN w:val="0"/>
              <w:spacing w:line="320" w:lineRule="exact"/>
              <w:jc w:val="left"/>
              <w:textAlignment w:val="center"/>
              <w:rPr>
                <w:rFonts w:eastAsia="仿宋_GB2312" w:cs="仿宋_GB2312"/>
                <w:sz w:val="24"/>
              </w:rPr>
            </w:pPr>
          </w:p>
          <w:p w:rsidR="0057447D" w:rsidRDefault="007A4AFA">
            <w:pPr>
              <w:autoSpaceDN w:val="0"/>
              <w:spacing w:line="320" w:lineRule="exact"/>
              <w:jc w:val="left"/>
              <w:textAlignment w:val="center"/>
              <w:rPr>
                <w:rFonts w:eastAsia="仿宋_GB2312" w:cs="仿宋_GB2312"/>
                <w:sz w:val="24"/>
              </w:rPr>
            </w:pPr>
            <w:r>
              <w:rPr>
                <w:rFonts w:eastAsia="仿宋_GB2312" w:cs="仿宋_GB2312" w:hint="eastAsia"/>
                <w:sz w:val="24"/>
              </w:rPr>
              <w:t>部门（单位）负责人（签字）：部门（单位）（盖章）：</w:t>
            </w:r>
          </w:p>
          <w:p w:rsidR="0057447D" w:rsidRDefault="0057447D">
            <w:pPr>
              <w:autoSpaceDN w:val="0"/>
              <w:spacing w:line="320" w:lineRule="exact"/>
              <w:jc w:val="left"/>
              <w:textAlignment w:val="center"/>
              <w:rPr>
                <w:rFonts w:eastAsia="仿宋_GB2312" w:cs="仿宋_GB2312"/>
                <w:sz w:val="24"/>
              </w:rPr>
            </w:pPr>
          </w:p>
          <w:p w:rsidR="0057447D" w:rsidRDefault="007A4AFA">
            <w:pPr>
              <w:autoSpaceDN w:val="0"/>
              <w:spacing w:line="320" w:lineRule="exact"/>
              <w:jc w:val="left"/>
              <w:textAlignment w:val="center"/>
              <w:rPr>
                <w:rFonts w:eastAsia="仿宋_GB2312" w:cs="仿宋_GB2312"/>
                <w:sz w:val="24"/>
              </w:rPr>
            </w:pPr>
            <w:r>
              <w:rPr>
                <w:rFonts w:eastAsia="仿宋_GB2312" w:cs="仿宋_GB2312" w:hint="eastAsia"/>
                <w:sz w:val="24"/>
              </w:rPr>
              <w:t>年月日</w:t>
            </w:r>
          </w:p>
        </w:tc>
      </w:tr>
      <w:tr w:rsidR="0057447D">
        <w:trPr>
          <w:trHeight w:val="3079"/>
          <w:jc w:val="center"/>
        </w:trPr>
        <w:tc>
          <w:tcPr>
            <w:tcW w:w="9800" w:type="dxa"/>
            <w:gridSpan w:val="13"/>
            <w:vAlign w:val="center"/>
          </w:tcPr>
          <w:p w:rsidR="0057447D" w:rsidRDefault="007A4AFA">
            <w:pPr>
              <w:spacing w:line="320" w:lineRule="exact"/>
              <w:rPr>
                <w:rFonts w:eastAsia="仿宋_GB2312"/>
                <w:sz w:val="24"/>
              </w:rPr>
            </w:pPr>
            <w:r>
              <w:rPr>
                <w:rFonts w:eastAsia="仿宋_GB2312" w:hint="eastAsia"/>
                <w:sz w:val="24"/>
              </w:rPr>
              <w:t>财政部门归口业务科室意见：</w:t>
            </w:r>
          </w:p>
          <w:p w:rsidR="0057447D" w:rsidRDefault="0057447D">
            <w:pPr>
              <w:spacing w:line="320" w:lineRule="exact"/>
              <w:rPr>
                <w:rFonts w:eastAsia="仿宋_GB2312"/>
                <w:sz w:val="24"/>
              </w:rPr>
            </w:pPr>
          </w:p>
          <w:p w:rsidR="0057447D" w:rsidRDefault="0057447D">
            <w:pPr>
              <w:spacing w:line="320" w:lineRule="exact"/>
              <w:rPr>
                <w:rFonts w:eastAsia="仿宋_GB2312"/>
                <w:sz w:val="24"/>
              </w:rPr>
            </w:pPr>
          </w:p>
          <w:p w:rsidR="0057447D" w:rsidRDefault="0057447D">
            <w:pPr>
              <w:spacing w:line="320" w:lineRule="exact"/>
              <w:rPr>
                <w:rFonts w:eastAsia="仿宋_GB2312"/>
                <w:sz w:val="24"/>
              </w:rPr>
            </w:pPr>
          </w:p>
          <w:p w:rsidR="0057447D" w:rsidRDefault="0057447D">
            <w:pPr>
              <w:spacing w:line="320" w:lineRule="exact"/>
              <w:rPr>
                <w:rFonts w:eastAsia="仿宋_GB2312"/>
                <w:sz w:val="24"/>
              </w:rPr>
            </w:pPr>
          </w:p>
          <w:p w:rsidR="0057447D" w:rsidRDefault="007A4AFA">
            <w:pPr>
              <w:spacing w:line="320" w:lineRule="exact"/>
              <w:rPr>
                <w:rFonts w:eastAsia="仿宋_GB2312"/>
                <w:sz w:val="24"/>
              </w:rPr>
            </w:pPr>
            <w:r>
              <w:rPr>
                <w:rFonts w:eastAsia="仿宋_GB2312" w:hint="eastAsia"/>
                <w:sz w:val="24"/>
              </w:rPr>
              <w:t>财政部门归口业务科室负责人（签字）：财政部门归口业务科室（盖章）：</w:t>
            </w:r>
          </w:p>
          <w:p w:rsidR="0057447D" w:rsidRDefault="0057447D">
            <w:pPr>
              <w:autoSpaceDN w:val="0"/>
              <w:spacing w:line="320" w:lineRule="exact"/>
              <w:jc w:val="left"/>
              <w:textAlignment w:val="center"/>
              <w:rPr>
                <w:rFonts w:eastAsia="仿宋_GB2312"/>
                <w:sz w:val="24"/>
              </w:rPr>
            </w:pPr>
          </w:p>
          <w:p w:rsidR="0057447D" w:rsidRDefault="007A4AFA" w:rsidP="00D80294">
            <w:pPr>
              <w:autoSpaceDN w:val="0"/>
              <w:spacing w:line="320" w:lineRule="exact"/>
              <w:ind w:firstLineChars="3200" w:firstLine="7680"/>
              <w:jc w:val="left"/>
              <w:textAlignment w:val="center"/>
              <w:rPr>
                <w:rFonts w:eastAsia="仿宋_GB2312" w:cs="仿宋_GB2312"/>
                <w:sz w:val="24"/>
              </w:rPr>
            </w:pPr>
            <w:r>
              <w:rPr>
                <w:rFonts w:eastAsia="仿宋_GB2312" w:hint="eastAsia"/>
                <w:sz w:val="24"/>
              </w:rPr>
              <w:t>年月日</w:t>
            </w:r>
          </w:p>
        </w:tc>
      </w:tr>
    </w:tbl>
    <w:tbl>
      <w:tblPr>
        <w:tblpPr w:leftFromText="180" w:rightFromText="180" w:vertAnchor="text" w:tblpX="10483" w:tblpY="-327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tblGrid>
      <w:tr w:rsidR="0057447D">
        <w:trPr>
          <w:trHeight w:val="30"/>
        </w:trPr>
        <w:tc>
          <w:tcPr>
            <w:tcW w:w="1946" w:type="dxa"/>
          </w:tcPr>
          <w:p w:rsidR="0057447D" w:rsidRDefault="0057447D">
            <w:pPr>
              <w:spacing w:line="560" w:lineRule="exact"/>
              <w:jc w:val="center"/>
              <w:rPr>
                <w:rFonts w:eastAsia="方正小标宋_GBK"/>
                <w:sz w:val="36"/>
                <w:szCs w:val="36"/>
              </w:rPr>
            </w:pPr>
          </w:p>
        </w:tc>
      </w:tr>
    </w:tbl>
    <w:p w:rsidR="0057447D" w:rsidRDefault="0057447D">
      <w:pPr>
        <w:spacing w:line="544" w:lineRule="exact"/>
        <w:rPr>
          <w:rFonts w:ascii="黑体" w:eastAsia="黑体" w:hAnsi="黑体" w:cs="黑体"/>
          <w:b/>
          <w:bCs/>
          <w:sz w:val="32"/>
          <w:szCs w:val="32"/>
        </w:rPr>
        <w:sectPr w:rsidR="0057447D">
          <w:footerReference w:type="default" r:id="rId9"/>
          <w:pgSz w:w="11906" w:h="16838"/>
          <w:pgMar w:top="1440" w:right="1803" w:bottom="1440" w:left="1803" w:header="851" w:footer="992" w:gutter="0"/>
          <w:pgNumType w:start="1"/>
          <w:cols w:space="720"/>
          <w:docGrid w:type="lines" w:linePitch="325"/>
        </w:sectPr>
      </w:pPr>
    </w:p>
    <w:p w:rsidR="0057447D" w:rsidRDefault="007A4AFA">
      <w:pPr>
        <w:spacing w:line="660" w:lineRule="exact"/>
        <w:ind w:firstLine="561"/>
        <w:jc w:val="center"/>
        <w:rPr>
          <w:rFonts w:ascii="Times New Roman" w:eastAsia="黑体" w:hAnsi="Times New Roman"/>
          <w:b/>
          <w:bCs/>
          <w:sz w:val="36"/>
          <w:szCs w:val="36"/>
        </w:rPr>
      </w:pPr>
      <w:r>
        <w:rPr>
          <w:rFonts w:ascii="Times New Roman" w:eastAsia="黑体" w:hAnsi="Times New Roman"/>
          <w:b/>
          <w:bCs/>
          <w:sz w:val="36"/>
          <w:szCs w:val="36"/>
        </w:rPr>
        <w:lastRenderedPageBreak/>
        <w:t>湘西自治州医疗保障局</w:t>
      </w:r>
    </w:p>
    <w:p w:rsidR="0057447D" w:rsidRDefault="007A4AFA">
      <w:pPr>
        <w:spacing w:line="660" w:lineRule="exact"/>
        <w:ind w:firstLine="561"/>
        <w:jc w:val="center"/>
        <w:rPr>
          <w:rFonts w:ascii="Times New Roman" w:eastAsia="黑体" w:hAnsi="Times New Roman"/>
          <w:b/>
          <w:bCs/>
          <w:sz w:val="36"/>
          <w:szCs w:val="36"/>
        </w:rPr>
      </w:pPr>
      <w:r>
        <w:rPr>
          <w:rFonts w:ascii="Times New Roman" w:eastAsia="黑体" w:hAnsi="Times New Roman"/>
          <w:b/>
          <w:bCs/>
          <w:sz w:val="36"/>
          <w:szCs w:val="36"/>
        </w:rPr>
        <w:t>2020</w:t>
      </w:r>
      <w:r>
        <w:rPr>
          <w:rFonts w:ascii="Times New Roman" w:eastAsia="黑体" w:hAnsi="Times New Roman"/>
          <w:b/>
          <w:bCs/>
          <w:sz w:val="36"/>
          <w:szCs w:val="36"/>
        </w:rPr>
        <w:t>年度部门整体支出绩效自评报告</w:t>
      </w:r>
    </w:p>
    <w:p w:rsidR="0057447D" w:rsidRDefault="0057447D">
      <w:pPr>
        <w:spacing w:line="660" w:lineRule="exact"/>
        <w:ind w:firstLine="561"/>
        <w:jc w:val="center"/>
        <w:rPr>
          <w:rFonts w:ascii="楷体_GB2312" w:eastAsia="楷体_GB2312" w:hAnsi="楷体_GB2312" w:cs="楷体_GB2312"/>
          <w:sz w:val="28"/>
          <w:szCs w:val="28"/>
        </w:rPr>
      </w:pPr>
    </w:p>
    <w:p w:rsidR="0057447D" w:rsidRDefault="007A4AFA">
      <w:pPr>
        <w:spacing w:line="620" w:lineRule="exact"/>
        <w:ind w:firstLine="560"/>
        <w:rPr>
          <w:rFonts w:ascii="Times New Roman" w:eastAsia="楷体_GB2312" w:hAnsi="Times New Roman"/>
          <w:b/>
          <w:color w:val="333333"/>
          <w:kern w:val="0"/>
          <w:sz w:val="28"/>
          <w:szCs w:val="28"/>
          <w:shd w:val="clear" w:color="auto" w:fill="FFFFFF"/>
        </w:rPr>
      </w:pPr>
      <w:r>
        <w:rPr>
          <w:rFonts w:ascii="Times New Roman" w:eastAsia="楷体_GB2312" w:hAnsi="Times New Roman"/>
          <w:sz w:val="28"/>
          <w:szCs w:val="28"/>
        </w:rPr>
        <w:t>为提升财政资金的预算绩效管理工作水平，增强单位财政资金支出责任，规范资金管理行为，提高财政资金使用效益，提高公共服务质量，优化公共资源配置，保障部门更好的履行职责，节约公共支出成本。根据《关于全面推进预算绩效管理的实施意见》（湘办发〔</w:t>
      </w:r>
      <w:r>
        <w:rPr>
          <w:rFonts w:ascii="Times New Roman" w:eastAsia="楷体_GB2312" w:hAnsi="Times New Roman"/>
          <w:sz w:val="28"/>
          <w:szCs w:val="28"/>
        </w:rPr>
        <w:t>2019</w:t>
      </w:r>
      <w:r>
        <w:rPr>
          <w:rFonts w:ascii="Times New Roman" w:eastAsia="楷体_GB2312" w:hAnsi="Times New Roman"/>
          <w:sz w:val="28"/>
          <w:szCs w:val="28"/>
        </w:rPr>
        <w:t>〕</w:t>
      </w:r>
      <w:r>
        <w:rPr>
          <w:rFonts w:ascii="Times New Roman" w:eastAsia="楷体_GB2312" w:hAnsi="Times New Roman"/>
          <w:sz w:val="28"/>
          <w:szCs w:val="28"/>
        </w:rPr>
        <w:t>10</w:t>
      </w:r>
      <w:r>
        <w:rPr>
          <w:rFonts w:ascii="Times New Roman" w:eastAsia="楷体_GB2312" w:hAnsi="Times New Roman"/>
          <w:sz w:val="28"/>
          <w:szCs w:val="28"/>
        </w:rPr>
        <w:t>号）、《党政机关厉行节约反对浪费条例》、《湖南省预算支出绩效评价管理办法》（湘财绩〔</w:t>
      </w:r>
      <w:r>
        <w:rPr>
          <w:rFonts w:ascii="Times New Roman" w:eastAsia="楷体_GB2312" w:hAnsi="Times New Roman"/>
          <w:sz w:val="28"/>
          <w:szCs w:val="28"/>
        </w:rPr>
        <w:t>2020</w:t>
      </w:r>
      <w:r>
        <w:rPr>
          <w:rFonts w:ascii="Times New Roman" w:eastAsia="楷体_GB2312" w:hAnsi="Times New Roman"/>
          <w:sz w:val="28"/>
          <w:szCs w:val="28"/>
        </w:rPr>
        <w:t>〕</w:t>
      </w:r>
      <w:r>
        <w:rPr>
          <w:rFonts w:ascii="Times New Roman" w:eastAsia="楷体_GB2312" w:hAnsi="Times New Roman"/>
          <w:sz w:val="28"/>
          <w:szCs w:val="28"/>
        </w:rPr>
        <w:t>7</w:t>
      </w:r>
      <w:r>
        <w:rPr>
          <w:rFonts w:ascii="Times New Roman" w:eastAsia="楷体_GB2312" w:hAnsi="Times New Roman"/>
          <w:sz w:val="28"/>
          <w:szCs w:val="28"/>
        </w:rPr>
        <w:t>号）、《湘西自治州州级预算部门整体支出绩效自评操作规程》（州财绩〔</w:t>
      </w:r>
      <w:r>
        <w:rPr>
          <w:rFonts w:ascii="Times New Roman" w:eastAsia="楷体_GB2312" w:hAnsi="Times New Roman"/>
          <w:sz w:val="28"/>
          <w:szCs w:val="28"/>
        </w:rPr>
        <w:t>2021</w:t>
      </w:r>
      <w:r>
        <w:rPr>
          <w:rFonts w:ascii="Times New Roman" w:eastAsia="楷体_GB2312" w:hAnsi="Times New Roman"/>
          <w:sz w:val="28"/>
          <w:szCs w:val="28"/>
        </w:rPr>
        <w:t>〕</w:t>
      </w:r>
      <w:r>
        <w:rPr>
          <w:rFonts w:ascii="Times New Roman" w:eastAsia="楷体_GB2312" w:hAnsi="Times New Roman"/>
          <w:sz w:val="28"/>
          <w:szCs w:val="28"/>
        </w:rPr>
        <w:t xml:space="preserve">6 </w:t>
      </w:r>
      <w:r>
        <w:rPr>
          <w:rFonts w:ascii="Times New Roman" w:eastAsia="楷体_GB2312" w:hAnsi="Times New Roman"/>
          <w:sz w:val="28"/>
          <w:szCs w:val="28"/>
        </w:rPr>
        <w:t>号）、《湘西自治州财政局关于开展关于开展</w:t>
      </w:r>
      <w:r>
        <w:rPr>
          <w:rFonts w:ascii="Times New Roman" w:eastAsia="楷体_GB2312" w:hAnsi="Times New Roman"/>
          <w:sz w:val="28"/>
          <w:szCs w:val="28"/>
        </w:rPr>
        <w:t>2020</w:t>
      </w:r>
      <w:r>
        <w:rPr>
          <w:rFonts w:ascii="Times New Roman" w:eastAsia="楷体_GB2312" w:hAnsi="Times New Roman"/>
          <w:sz w:val="28"/>
          <w:szCs w:val="28"/>
        </w:rPr>
        <w:t>年度部门整体支出绩效自评工作的通知》（州财绩〔</w:t>
      </w:r>
      <w:r>
        <w:rPr>
          <w:rFonts w:ascii="Times New Roman" w:eastAsia="楷体_GB2312" w:hAnsi="Times New Roman"/>
          <w:sz w:val="28"/>
          <w:szCs w:val="28"/>
        </w:rPr>
        <w:t>2021</w:t>
      </w:r>
      <w:r>
        <w:rPr>
          <w:rFonts w:ascii="Times New Roman" w:eastAsia="楷体_GB2312" w:hAnsi="Times New Roman"/>
          <w:sz w:val="28"/>
          <w:szCs w:val="28"/>
        </w:rPr>
        <w:t>〕</w:t>
      </w:r>
      <w:r>
        <w:rPr>
          <w:rFonts w:ascii="Times New Roman" w:eastAsia="楷体_GB2312" w:hAnsi="Times New Roman"/>
          <w:sz w:val="28"/>
          <w:szCs w:val="28"/>
        </w:rPr>
        <w:t>8</w:t>
      </w:r>
      <w:r>
        <w:rPr>
          <w:rFonts w:ascii="Times New Roman" w:eastAsia="楷体_GB2312" w:hAnsi="Times New Roman"/>
          <w:sz w:val="28"/>
          <w:szCs w:val="28"/>
        </w:rPr>
        <w:t>号）等文件的要求，我单位于</w:t>
      </w:r>
      <w:r>
        <w:rPr>
          <w:rFonts w:ascii="Times New Roman" w:eastAsia="楷体_GB2312" w:hAnsi="Times New Roman"/>
          <w:sz w:val="28"/>
          <w:szCs w:val="28"/>
        </w:rPr>
        <w:t>2021</w:t>
      </w:r>
      <w:r>
        <w:rPr>
          <w:rFonts w:ascii="Times New Roman" w:eastAsia="楷体_GB2312" w:hAnsi="Times New Roman"/>
          <w:sz w:val="28"/>
          <w:szCs w:val="28"/>
        </w:rPr>
        <w:t>年</w:t>
      </w:r>
      <w:r>
        <w:rPr>
          <w:rFonts w:ascii="Times New Roman" w:eastAsia="楷体_GB2312" w:hAnsi="Times New Roman"/>
          <w:sz w:val="28"/>
          <w:szCs w:val="28"/>
        </w:rPr>
        <w:t>5</w:t>
      </w:r>
      <w:r>
        <w:rPr>
          <w:rFonts w:ascii="Times New Roman" w:eastAsia="楷体_GB2312" w:hAnsi="Times New Roman"/>
          <w:sz w:val="28"/>
          <w:szCs w:val="28"/>
        </w:rPr>
        <w:t>月，组织力量对本单位</w:t>
      </w:r>
      <w:r>
        <w:rPr>
          <w:rFonts w:ascii="Times New Roman" w:eastAsia="楷体_GB2312" w:hAnsi="Times New Roman"/>
          <w:sz w:val="28"/>
          <w:szCs w:val="28"/>
        </w:rPr>
        <w:t>2020</w:t>
      </w:r>
      <w:r>
        <w:rPr>
          <w:rFonts w:ascii="Times New Roman" w:eastAsia="楷体_GB2312" w:hAnsi="Times New Roman"/>
          <w:sz w:val="28"/>
          <w:szCs w:val="28"/>
        </w:rPr>
        <w:t>年度部门预算整体支出进行了客观、公正的评价，本次评价运用科学、合理的绩效评价指标、评价标准和评价方法，遵循</w:t>
      </w:r>
      <w:r>
        <w:rPr>
          <w:rFonts w:ascii="Times New Roman" w:eastAsia="楷体_GB2312" w:hAnsi="Times New Roman"/>
          <w:sz w:val="28"/>
          <w:szCs w:val="28"/>
        </w:rPr>
        <w:t>“</w:t>
      </w:r>
      <w:r>
        <w:rPr>
          <w:rFonts w:ascii="Times New Roman" w:eastAsia="楷体_GB2312" w:hAnsi="Times New Roman"/>
          <w:sz w:val="28"/>
          <w:szCs w:val="28"/>
        </w:rPr>
        <w:t>科学规范、公正公开、分类管理、绩效相关</w:t>
      </w:r>
      <w:r>
        <w:rPr>
          <w:rFonts w:ascii="Times New Roman" w:eastAsia="楷体_GB2312" w:hAnsi="Times New Roman"/>
          <w:sz w:val="28"/>
          <w:szCs w:val="28"/>
        </w:rPr>
        <w:t>”</w:t>
      </w:r>
      <w:r>
        <w:rPr>
          <w:rFonts w:ascii="Times New Roman" w:eastAsia="楷体_GB2312" w:hAnsi="Times New Roman"/>
          <w:sz w:val="28"/>
          <w:szCs w:val="28"/>
        </w:rPr>
        <w:t>的原则。现将情况汇报如下：</w:t>
      </w:r>
    </w:p>
    <w:p w:rsidR="0057447D" w:rsidRDefault="007A4AFA">
      <w:pPr>
        <w:widowControl/>
        <w:spacing w:line="620" w:lineRule="exact"/>
        <w:ind w:firstLine="560"/>
        <w:rPr>
          <w:rFonts w:ascii="Times New Roman" w:eastAsia="楷体_GB2312" w:hAnsi="Times New Roman"/>
          <w:sz w:val="28"/>
          <w:szCs w:val="28"/>
        </w:rPr>
      </w:pPr>
      <w:r>
        <w:rPr>
          <w:rFonts w:ascii="Times New Roman" w:eastAsia="楷体_GB2312" w:hAnsi="Times New Roman"/>
          <w:b/>
          <w:color w:val="333333"/>
          <w:kern w:val="0"/>
          <w:sz w:val="28"/>
          <w:szCs w:val="28"/>
          <w:shd w:val="clear" w:color="auto" w:fill="FFFFFF"/>
        </w:rPr>
        <w:t>一、基本情况</w:t>
      </w:r>
    </w:p>
    <w:p w:rsidR="0057447D" w:rsidRDefault="007A4AFA">
      <w:pPr>
        <w:widowControl/>
        <w:spacing w:line="620" w:lineRule="exact"/>
        <w:ind w:firstLine="562"/>
        <w:rPr>
          <w:rFonts w:ascii="Times New Roman" w:eastAsia="楷体_GB2312" w:hAnsi="Times New Roman"/>
          <w:b/>
          <w:color w:val="333333"/>
          <w:kern w:val="0"/>
          <w:sz w:val="28"/>
          <w:szCs w:val="28"/>
          <w:shd w:val="clear" w:color="auto" w:fill="FFFFFF"/>
        </w:rPr>
      </w:pPr>
      <w:r>
        <w:rPr>
          <w:rFonts w:ascii="Times New Roman" w:eastAsia="楷体_GB2312" w:hAnsi="Times New Roman"/>
          <w:b/>
          <w:color w:val="333333"/>
          <w:kern w:val="0"/>
          <w:sz w:val="28"/>
          <w:szCs w:val="28"/>
          <w:shd w:val="clear" w:color="auto" w:fill="FFFFFF"/>
        </w:rPr>
        <w:t>（一）部门（单位）基本情况</w:t>
      </w:r>
    </w:p>
    <w:p w:rsidR="0057447D" w:rsidRDefault="007A4AFA">
      <w:pPr>
        <w:widowControl/>
        <w:spacing w:line="620" w:lineRule="exact"/>
        <w:ind w:firstLine="560"/>
        <w:rPr>
          <w:rFonts w:ascii="Times New Roman" w:eastAsia="楷体_GB2312" w:hAnsi="Times New Roman"/>
          <w:b/>
          <w:bCs/>
          <w:color w:val="333333"/>
          <w:kern w:val="0"/>
          <w:sz w:val="28"/>
          <w:szCs w:val="28"/>
          <w:shd w:val="clear" w:color="auto" w:fill="FFFFFF"/>
        </w:rPr>
      </w:pPr>
      <w:r>
        <w:rPr>
          <w:rFonts w:ascii="Times New Roman" w:eastAsia="楷体_GB2312" w:hAnsi="Times New Roman"/>
          <w:b/>
          <w:bCs/>
          <w:color w:val="333333"/>
          <w:kern w:val="0"/>
          <w:sz w:val="28"/>
          <w:szCs w:val="28"/>
          <w:shd w:val="clear" w:color="auto" w:fill="FFFFFF"/>
        </w:rPr>
        <w:t>1</w:t>
      </w:r>
      <w:r>
        <w:rPr>
          <w:rFonts w:ascii="Times New Roman" w:eastAsia="楷体_GB2312" w:hAnsi="Times New Roman"/>
          <w:b/>
          <w:bCs/>
          <w:color w:val="333333"/>
          <w:kern w:val="0"/>
          <w:sz w:val="28"/>
          <w:szCs w:val="28"/>
          <w:shd w:val="clear" w:color="auto" w:fill="FFFFFF"/>
        </w:rPr>
        <w:t>、单位基本情况及职责</w:t>
      </w:r>
    </w:p>
    <w:p w:rsidR="0057447D" w:rsidRDefault="007A4AFA">
      <w:pPr>
        <w:widowControl/>
        <w:spacing w:line="640" w:lineRule="exact"/>
        <w:ind w:firstLine="561"/>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湘西自治州医疗保障局为一级预算财政全额拨款行政单位</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单位统一社会信用代码为</w:t>
      </w:r>
      <w:r>
        <w:rPr>
          <w:rFonts w:ascii="Times New Roman" w:eastAsia="楷体_GB2312" w:hAnsi="Times New Roman"/>
          <w:color w:val="333333"/>
          <w:kern w:val="0"/>
          <w:sz w:val="28"/>
          <w:szCs w:val="28"/>
          <w:shd w:val="clear" w:color="auto" w:fill="FFFFFF"/>
        </w:rPr>
        <w:t>11433100MB1756803K</w:t>
      </w:r>
      <w:r>
        <w:rPr>
          <w:rFonts w:ascii="Times New Roman" w:eastAsia="楷体_GB2312" w:hAnsi="Times New Roman"/>
          <w:color w:val="333333"/>
          <w:kern w:val="0"/>
          <w:sz w:val="28"/>
          <w:szCs w:val="28"/>
          <w:shd w:val="clear" w:color="auto" w:fill="FFFFFF"/>
        </w:rPr>
        <w:t>，单位负责人向忠。单位地址湖南省湘西州经开区州府西路</w:t>
      </w:r>
      <w:r>
        <w:rPr>
          <w:rFonts w:ascii="Times New Roman" w:eastAsia="楷体_GB2312" w:hAnsi="Times New Roman"/>
          <w:color w:val="333333"/>
          <w:kern w:val="0"/>
          <w:sz w:val="28"/>
          <w:szCs w:val="28"/>
          <w:shd w:val="clear" w:color="auto" w:fill="FFFFFF"/>
        </w:rPr>
        <w:t>9</w:t>
      </w:r>
      <w:r>
        <w:rPr>
          <w:rFonts w:ascii="Times New Roman" w:eastAsia="楷体_GB2312" w:hAnsi="Times New Roman"/>
          <w:color w:val="333333"/>
          <w:kern w:val="0"/>
          <w:sz w:val="28"/>
          <w:szCs w:val="28"/>
          <w:shd w:val="clear" w:color="auto" w:fill="FFFFFF"/>
        </w:rPr>
        <w:t>号。单位的主要职责是：（</w:t>
      </w:r>
      <w:r>
        <w:rPr>
          <w:rFonts w:ascii="Times New Roman" w:eastAsia="楷体_GB2312" w:hAnsi="Times New Roman"/>
          <w:color w:val="333333"/>
          <w:kern w:val="0"/>
          <w:sz w:val="28"/>
          <w:szCs w:val="28"/>
          <w:shd w:val="clear" w:color="auto" w:fill="FFFFFF"/>
        </w:rPr>
        <w:t>1</w:t>
      </w:r>
      <w:r>
        <w:rPr>
          <w:rFonts w:ascii="Times New Roman" w:eastAsia="楷体_GB2312" w:hAnsi="Times New Roman"/>
          <w:color w:val="333333"/>
          <w:kern w:val="0"/>
          <w:sz w:val="28"/>
          <w:szCs w:val="28"/>
          <w:shd w:val="clear" w:color="auto" w:fill="FFFFFF"/>
        </w:rPr>
        <w:t>）</w:t>
      </w:r>
    </w:p>
    <w:p w:rsidR="0057447D" w:rsidRDefault="007A4AFA">
      <w:pPr>
        <w:widowControl/>
        <w:spacing w:line="620" w:lineRule="exact"/>
        <w:ind w:firstLine="561"/>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lastRenderedPageBreak/>
        <w:t>组织起草有关地方性法规、单行条例和政府规章草案及有关政策规定，并组织实施。（</w:t>
      </w:r>
      <w:r>
        <w:rPr>
          <w:rFonts w:ascii="Times New Roman" w:eastAsia="楷体_GB2312" w:hAnsi="Times New Roman"/>
          <w:color w:val="333333"/>
          <w:kern w:val="0"/>
          <w:sz w:val="28"/>
          <w:szCs w:val="28"/>
          <w:shd w:val="clear" w:color="auto" w:fill="FFFFFF"/>
        </w:rPr>
        <w:t>2</w:t>
      </w:r>
      <w:r>
        <w:rPr>
          <w:rFonts w:ascii="Times New Roman" w:eastAsia="楷体_GB2312" w:hAnsi="Times New Roman"/>
          <w:color w:val="333333"/>
          <w:kern w:val="0"/>
          <w:sz w:val="28"/>
          <w:szCs w:val="28"/>
          <w:shd w:val="clear" w:color="auto" w:fill="FFFFFF"/>
        </w:rPr>
        <w:t>）贯彻落实上级医疗保障部门制定的医疗保障基金监督管理办法，监督管理相关医疗保障基金，建立健全医疗保障基金安全防控机制，推进医疗保障基金支付方式改革。（</w:t>
      </w:r>
      <w:r>
        <w:rPr>
          <w:rFonts w:ascii="Times New Roman" w:eastAsia="楷体_GB2312" w:hAnsi="Times New Roman"/>
          <w:color w:val="333333"/>
          <w:kern w:val="0"/>
          <w:sz w:val="28"/>
          <w:szCs w:val="28"/>
          <w:shd w:val="clear" w:color="auto" w:fill="FFFFFF"/>
        </w:rPr>
        <w:t>3</w:t>
      </w:r>
      <w:r>
        <w:rPr>
          <w:rFonts w:ascii="Times New Roman" w:eastAsia="楷体_GB2312" w:hAnsi="Times New Roman"/>
          <w:color w:val="333333"/>
          <w:kern w:val="0"/>
          <w:sz w:val="28"/>
          <w:szCs w:val="28"/>
          <w:shd w:val="clear" w:color="auto" w:fill="FFFFFF"/>
        </w:rPr>
        <w:t>）组织制定和实施全州医保障筹资和待遇政策，完善动态调整和区域调剂平衡机制，统筹城乡医疗保障待遇标准，建立健全与筹资水平相适应的待遇调整机制，组织拟订并实施长期护理保险制度改革方案。（</w:t>
      </w:r>
      <w:r>
        <w:rPr>
          <w:rFonts w:ascii="Times New Roman" w:eastAsia="楷体_GB2312" w:hAnsi="Times New Roman"/>
          <w:color w:val="333333"/>
          <w:kern w:val="0"/>
          <w:sz w:val="28"/>
          <w:szCs w:val="28"/>
          <w:shd w:val="clear" w:color="auto" w:fill="FFFFFF"/>
        </w:rPr>
        <w:t>4</w:t>
      </w:r>
      <w:r>
        <w:rPr>
          <w:rFonts w:ascii="Times New Roman" w:eastAsia="楷体_GB2312" w:hAnsi="Times New Roman"/>
          <w:color w:val="333333"/>
          <w:kern w:val="0"/>
          <w:sz w:val="28"/>
          <w:szCs w:val="28"/>
          <w:shd w:val="clear" w:color="auto" w:fill="FFFFFF"/>
        </w:rPr>
        <w:t>）组织制定和实施全州城乡统一的药品、医用耗材、医疗服务项目、医疗服务设施等医保目录和支付标准，建立动态调整机制，制定医保目录准入谈判规则并组织实施。（</w:t>
      </w:r>
      <w:r>
        <w:rPr>
          <w:rFonts w:ascii="Times New Roman" w:eastAsia="楷体_GB2312" w:hAnsi="Times New Roman"/>
          <w:color w:val="333333"/>
          <w:kern w:val="0"/>
          <w:sz w:val="28"/>
          <w:szCs w:val="28"/>
          <w:shd w:val="clear" w:color="auto" w:fill="FFFFFF"/>
        </w:rPr>
        <w:t>5</w:t>
      </w:r>
      <w:r>
        <w:rPr>
          <w:rFonts w:ascii="Times New Roman" w:eastAsia="楷体_GB2312" w:hAnsi="Times New Roman"/>
          <w:color w:val="333333"/>
          <w:kern w:val="0"/>
          <w:sz w:val="28"/>
          <w:szCs w:val="28"/>
          <w:shd w:val="clear" w:color="auto" w:fill="FFFFFF"/>
        </w:rPr>
        <w:t>）组织制定全州药品、医用耗材价格和医疗服务项目、医疗服务设施收费等政策，建立医保支付医药服务价格合理确定和动态调整机制，推动建立市场主导的社会医药服务价格形成机制，建立价格信息监测和信息发布制度。（</w:t>
      </w:r>
      <w:r>
        <w:rPr>
          <w:rFonts w:ascii="Times New Roman" w:eastAsia="楷体_GB2312" w:hAnsi="Times New Roman"/>
          <w:color w:val="333333"/>
          <w:kern w:val="0"/>
          <w:sz w:val="28"/>
          <w:szCs w:val="28"/>
          <w:shd w:val="clear" w:color="auto" w:fill="FFFFFF"/>
        </w:rPr>
        <w:t>6</w:t>
      </w:r>
      <w:r>
        <w:rPr>
          <w:rFonts w:ascii="Times New Roman" w:eastAsia="楷体_GB2312" w:hAnsi="Times New Roman"/>
          <w:color w:val="333333"/>
          <w:kern w:val="0"/>
          <w:sz w:val="28"/>
          <w:szCs w:val="28"/>
          <w:shd w:val="clear" w:color="auto" w:fill="FFFFFF"/>
        </w:rPr>
        <w:t>）制定全州药品、医用耗材的招标采购政策并监督实施，负责药品、医用耗材招标采购平台建设。（</w:t>
      </w:r>
      <w:r>
        <w:rPr>
          <w:rFonts w:ascii="Times New Roman" w:eastAsia="楷体_GB2312" w:hAnsi="Times New Roman"/>
          <w:color w:val="333333"/>
          <w:kern w:val="0"/>
          <w:sz w:val="28"/>
          <w:szCs w:val="28"/>
          <w:shd w:val="clear" w:color="auto" w:fill="FFFFFF"/>
        </w:rPr>
        <w:t>7</w:t>
      </w:r>
      <w:r>
        <w:rPr>
          <w:rFonts w:ascii="Times New Roman" w:eastAsia="楷体_GB2312" w:hAnsi="Times New Roman"/>
          <w:color w:val="333333"/>
          <w:kern w:val="0"/>
          <w:sz w:val="28"/>
          <w:szCs w:val="28"/>
          <w:shd w:val="clear" w:color="auto" w:fill="FFFFFF"/>
        </w:rPr>
        <w:t>）制定全州定点医药机构协议和支付管理办法并组织实施，建立健全医疗保障信用评价体系和信息披露制度，监督管理纳入医保范围内的医疗服务行为和医疗费用，依法查处医疗保障领域违法违规行为。（</w:t>
      </w:r>
      <w:r>
        <w:rPr>
          <w:rFonts w:ascii="Times New Roman" w:eastAsia="楷体_GB2312" w:hAnsi="Times New Roman"/>
          <w:color w:val="333333"/>
          <w:kern w:val="0"/>
          <w:sz w:val="28"/>
          <w:szCs w:val="28"/>
          <w:shd w:val="clear" w:color="auto" w:fill="FFFFFF"/>
        </w:rPr>
        <w:t>8</w:t>
      </w:r>
      <w:r>
        <w:rPr>
          <w:rFonts w:ascii="Times New Roman" w:eastAsia="楷体_GB2312" w:hAnsi="Times New Roman"/>
          <w:color w:val="333333"/>
          <w:kern w:val="0"/>
          <w:sz w:val="28"/>
          <w:szCs w:val="28"/>
          <w:shd w:val="clear" w:color="auto" w:fill="FFFFFF"/>
        </w:rPr>
        <w:t>）负责全州医疗保障经办管理、公共服务体系和信息化建设。指导和监督全州医疗保险、生育保险、医疗救助等医疗保障经办业务工作。组织制定和完善异地就医管理和费用结算政策。建立健全医保障关系转移接续制度。开展医疗保障领域对外合作交流。（</w:t>
      </w:r>
      <w:r>
        <w:rPr>
          <w:rFonts w:ascii="Times New Roman" w:eastAsia="楷体_GB2312" w:hAnsi="Times New Roman"/>
          <w:color w:val="333333"/>
          <w:kern w:val="0"/>
          <w:sz w:val="28"/>
          <w:szCs w:val="28"/>
          <w:shd w:val="clear" w:color="auto" w:fill="FFFFFF"/>
        </w:rPr>
        <w:t>9</w:t>
      </w:r>
      <w:r>
        <w:rPr>
          <w:rFonts w:ascii="Times New Roman" w:eastAsia="楷体_GB2312" w:hAnsi="Times New Roman"/>
          <w:color w:val="333333"/>
          <w:kern w:val="0"/>
          <w:sz w:val="28"/>
          <w:szCs w:val="28"/>
          <w:shd w:val="clear" w:color="auto" w:fill="FFFFFF"/>
        </w:rPr>
        <w:t>）完成州委、州政府交办的其他任务。（</w:t>
      </w:r>
      <w:r>
        <w:rPr>
          <w:rFonts w:ascii="Times New Roman" w:eastAsia="楷体_GB2312" w:hAnsi="Times New Roman"/>
          <w:color w:val="333333"/>
          <w:kern w:val="0"/>
          <w:sz w:val="28"/>
          <w:szCs w:val="28"/>
          <w:shd w:val="clear" w:color="auto" w:fill="FFFFFF"/>
        </w:rPr>
        <w:t>10</w:t>
      </w:r>
      <w:r>
        <w:rPr>
          <w:rFonts w:ascii="Times New Roman" w:eastAsia="楷体_GB2312" w:hAnsi="Times New Roman"/>
          <w:color w:val="333333"/>
          <w:kern w:val="0"/>
          <w:sz w:val="28"/>
          <w:szCs w:val="28"/>
          <w:shd w:val="clear" w:color="auto" w:fill="FFFFFF"/>
        </w:rPr>
        <w:t>）职能转变。</w:t>
      </w:r>
      <w:r>
        <w:rPr>
          <w:rFonts w:ascii="Times New Roman" w:eastAsia="楷体_GB2312" w:hAnsi="Times New Roman"/>
          <w:color w:val="333333"/>
          <w:kern w:val="0"/>
          <w:sz w:val="28"/>
          <w:szCs w:val="28"/>
          <w:shd w:val="clear" w:color="auto" w:fill="FFFFFF"/>
        </w:rPr>
        <w:lastRenderedPageBreak/>
        <w:t>州医保局应完善统一的城乡居民基本医疗保险制度和大病保险制度，巩固完善城乡居民医疗救助制度，建立健全覆盖全民、城乡统筹的多层次医疗保障体系，不断提高医疗保障水平，确保医保资金合理使用、安全可控，推进医疗、医保、医药</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三医联动</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改革，更好保障人民群众就医需求、减轻医药费用负担。（</w:t>
      </w:r>
      <w:r>
        <w:rPr>
          <w:rFonts w:ascii="Times New Roman" w:eastAsia="楷体_GB2312" w:hAnsi="Times New Roman"/>
          <w:color w:val="333333"/>
          <w:kern w:val="0"/>
          <w:sz w:val="28"/>
          <w:szCs w:val="28"/>
          <w:shd w:val="clear" w:color="auto" w:fill="FFFFFF"/>
        </w:rPr>
        <w:t>11</w:t>
      </w:r>
      <w:r>
        <w:rPr>
          <w:rFonts w:ascii="Times New Roman" w:eastAsia="楷体_GB2312" w:hAnsi="Times New Roman"/>
          <w:color w:val="333333"/>
          <w:kern w:val="0"/>
          <w:sz w:val="28"/>
          <w:szCs w:val="28"/>
          <w:shd w:val="clear" w:color="auto" w:fill="FFFFFF"/>
        </w:rPr>
        <w:t>）与州卫生健康委的有关职责分工。州卫生健康委、州医保局等部门在医疗、医保、医药等方面加强制度、政策衔接，建立沟通协商机制，协同推进改革，提高医疗资源使用效率和医疗保障水平。</w:t>
      </w:r>
    </w:p>
    <w:p w:rsidR="0057447D" w:rsidRDefault="007A4AFA">
      <w:pPr>
        <w:widowControl/>
        <w:spacing w:line="620" w:lineRule="exact"/>
        <w:ind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b/>
          <w:bCs/>
          <w:color w:val="333333"/>
          <w:kern w:val="0"/>
          <w:sz w:val="28"/>
          <w:szCs w:val="28"/>
          <w:shd w:val="clear" w:color="auto" w:fill="FFFFFF"/>
        </w:rPr>
        <w:t>2</w:t>
      </w:r>
      <w:r>
        <w:rPr>
          <w:rFonts w:ascii="Times New Roman" w:eastAsia="楷体_GB2312" w:hAnsi="Times New Roman"/>
          <w:b/>
          <w:bCs/>
          <w:color w:val="333333"/>
          <w:kern w:val="0"/>
          <w:sz w:val="28"/>
          <w:szCs w:val="28"/>
          <w:shd w:val="clear" w:color="auto" w:fill="FFFFFF"/>
        </w:rPr>
        <w:t>、单位机构设置情况</w:t>
      </w:r>
    </w:p>
    <w:p w:rsidR="0057447D" w:rsidRDefault="007A4AFA">
      <w:pPr>
        <w:widowControl/>
        <w:spacing w:line="620" w:lineRule="exact"/>
        <w:ind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单位下设非独立核算机构</w:t>
      </w:r>
      <w:r>
        <w:rPr>
          <w:rFonts w:ascii="Times New Roman" w:eastAsia="楷体_GB2312" w:hAnsi="Times New Roman"/>
          <w:color w:val="333333"/>
          <w:kern w:val="0"/>
          <w:sz w:val="28"/>
          <w:szCs w:val="28"/>
          <w:shd w:val="clear" w:color="auto" w:fill="FFFFFF"/>
        </w:rPr>
        <w:t>3</w:t>
      </w:r>
      <w:r>
        <w:rPr>
          <w:rFonts w:ascii="Times New Roman" w:eastAsia="楷体_GB2312" w:hAnsi="Times New Roman"/>
          <w:color w:val="333333"/>
          <w:kern w:val="0"/>
          <w:sz w:val="28"/>
          <w:szCs w:val="28"/>
          <w:shd w:val="clear" w:color="auto" w:fill="FFFFFF"/>
        </w:rPr>
        <w:t>个：湘西自治州医疗保障事务中心、湘西自治州医疗保障基金核查和信息中心、湘西自治州医药价格评估和监测中心。内设机构</w:t>
      </w:r>
      <w:r>
        <w:rPr>
          <w:rFonts w:ascii="Times New Roman" w:eastAsia="楷体_GB2312" w:hAnsi="Times New Roman"/>
          <w:color w:val="333333"/>
          <w:kern w:val="0"/>
          <w:sz w:val="28"/>
          <w:szCs w:val="28"/>
          <w:shd w:val="clear" w:color="auto" w:fill="FFFFFF"/>
        </w:rPr>
        <w:t>5</w:t>
      </w:r>
      <w:r>
        <w:rPr>
          <w:rFonts w:ascii="Times New Roman" w:eastAsia="楷体_GB2312" w:hAnsi="Times New Roman"/>
          <w:color w:val="333333"/>
          <w:kern w:val="0"/>
          <w:sz w:val="28"/>
          <w:szCs w:val="28"/>
          <w:shd w:val="clear" w:color="auto" w:fill="FFFFFF"/>
        </w:rPr>
        <w:t>个：综合科、待遇保障和医药服务管理科、医药价格和招标采购科、基金监管科、机关党委等。</w:t>
      </w:r>
    </w:p>
    <w:p w:rsidR="0057447D" w:rsidRDefault="007A4AFA">
      <w:pPr>
        <w:widowControl/>
        <w:spacing w:line="620" w:lineRule="exact"/>
        <w:ind w:firstLine="560"/>
        <w:rPr>
          <w:rFonts w:ascii="Times New Roman" w:eastAsia="楷体_GB2312" w:hAnsi="Times New Roman"/>
          <w:b/>
          <w:bCs/>
          <w:color w:val="333333"/>
          <w:kern w:val="0"/>
          <w:sz w:val="28"/>
          <w:szCs w:val="28"/>
          <w:shd w:val="clear" w:color="auto" w:fill="FFFFFF"/>
        </w:rPr>
      </w:pPr>
      <w:r>
        <w:rPr>
          <w:rFonts w:ascii="Times New Roman" w:eastAsia="楷体_GB2312" w:hAnsi="Times New Roman"/>
          <w:b/>
          <w:bCs/>
          <w:color w:val="333333"/>
          <w:kern w:val="0"/>
          <w:sz w:val="28"/>
          <w:szCs w:val="28"/>
          <w:shd w:val="clear" w:color="auto" w:fill="FFFFFF"/>
        </w:rPr>
        <w:t>3</w:t>
      </w:r>
      <w:r>
        <w:rPr>
          <w:rFonts w:ascii="Times New Roman" w:eastAsia="楷体_GB2312" w:hAnsi="Times New Roman"/>
          <w:b/>
          <w:bCs/>
          <w:color w:val="333333"/>
          <w:kern w:val="0"/>
          <w:sz w:val="28"/>
          <w:szCs w:val="28"/>
          <w:shd w:val="clear" w:color="auto" w:fill="FFFFFF"/>
        </w:rPr>
        <w:t>、单位人员情况</w:t>
      </w:r>
    </w:p>
    <w:p w:rsidR="0057447D" w:rsidRDefault="007A4AFA">
      <w:pPr>
        <w:widowControl/>
        <w:spacing w:line="620" w:lineRule="exact"/>
        <w:ind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截止</w:t>
      </w:r>
      <w:r>
        <w:rPr>
          <w:rFonts w:ascii="Times New Roman" w:eastAsia="楷体_GB2312" w:hAnsi="Times New Roman"/>
          <w:color w:val="333333"/>
          <w:kern w:val="0"/>
          <w:sz w:val="28"/>
          <w:szCs w:val="28"/>
          <w:shd w:val="clear" w:color="auto" w:fill="FFFFFF"/>
        </w:rPr>
        <w:t>2020</w:t>
      </w:r>
      <w:r>
        <w:rPr>
          <w:rFonts w:ascii="Times New Roman" w:eastAsia="楷体_GB2312" w:hAnsi="Times New Roman"/>
          <w:color w:val="333333"/>
          <w:kern w:val="0"/>
          <w:sz w:val="28"/>
          <w:szCs w:val="28"/>
          <w:shd w:val="clear" w:color="auto" w:fill="FFFFFF"/>
        </w:rPr>
        <w:t>年局机关核定编制</w:t>
      </w:r>
      <w:r>
        <w:rPr>
          <w:rFonts w:ascii="Times New Roman" w:eastAsia="楷体_GB2312" w:hAnsi="Times New Roman"/>
          <w:color w:val="333333"/>
          <w:kern w:val="0"/>
          <w:sz w:val="28"/>
          <w:szCs w:val="28"/>
          <w:shd w:val="clear" w:color="auto" w:fill="FFFFFF"/>
        </w:rPr>
        <w:t>10</w:t>
      </w:r>
      <w:r>
        <w:rPr>
          <w:rFonts w:ascii="Times New Roman" w:eastAsia="楷体_GB2312" w:hAnsi="Times New Roman"/>
          <w:color w:val="333333"/>
          <w:kern w:val="0"/>
          <w:sz w:val="28"/>
          <w:szCs w:val="28"/>
          <w:shd w:val="clear" w:color="auto" w:fill="FFFFFF"/>
        </w:rPr>
        <w:t>人</w:t>
      </w:r>
      <w:r>
        <w:rPr>
          <w:rFonts w:ascii="Times New Roman" w:eastAsia="楷体_GB2312" w:hAnsi="Times New Roman"/>
          <w:color w:val="333333"/>
          <w:kern w:val="0"/>
          <w:sz w:val="28"/>
          <w:szCs w:val="28"/>
          <w:shd w:val="clear" w:color="auto" w:fill="FFFFFF"/>
        </w:rPr>
        <w:t xml:space="preserve">, </w:t>
      </w:r>
      <w:r>
        <w:rPr>
          <w:rFonts w:ascii="Times New Roman" w:eastAsia="楷体_GB2312" w:hAnsi="Times New Roman"/>
          <w:color w:val="333333"/>
          <w:kern w:val="0"/>
          <w:sz w:val="28"/>
          <w:szCs w:val="28"/>
          <w:shd w:val="clear" w:color="auto" w:fill="FFFFFF"/>
        </w:rPr>
        <w:t>年末实有人数</w:t>
      </w:r>
      <w:r>
        <w:rPr>
          <w:rFonts w:ascii="Times New Roman" w:eastAsia="楷体_GB2312" w:hAnsi="Times New Roman"/>
          <w:color w:val="333333"/>
          <w:kern w:val="0"/>
          <w:sz w:val="28"/>
          <w:szCs w:val="28"/>
          <w:shd w:val="clear" w:color="auto" w:fill="FFFFFF"/>
        </w:rPr>
        <w:t>8</w:t>
      </w:r>
      <w:r>
        <w:rPr>
          <w:rFonts w:ascii="Times New Roman" w:eastAsia="楷体_GB2312" w:hAnsi="Times New Roman"/>
          <w:color w:val="333333"/>
          <w:kern w:val="0"/>
          <w:sz w:val="28"/>
          <w:szCs w:val="28"/>
          <w:shd w:val="clear" w:color="auto" w:fill="FFFFFF"/>
        </w:rPr>
        <w:t>人</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退休人数</w:t>
      </w:r>
      <w:r>
        <w:rPr>
          <w:rFonts w:ascii="Times New Roman" w:eastAsia="楷体_GB2312" w:hAnsi="Times New Roman"/>
          <w:color w:val="333333"/>
          <w:kern w:val="0"/>
          <w:sz w:val="28"/>
          <w:szCs w:val="28"/>
          <w:shd w:val="clear" w:color="auto" w:fill="FFFFFF"/>
        </w:rPr>
        <w:t>0</w:t>
      </w:r>
      <w:r>
        <w:rPr>
          <w:rFonts w:ascii="Times New Roman" w:eastAsia="楷体_GB2312" w:hAnsi="Times New Roman"/>
          <w:color w:val="333333"/>
          <w:kern w:val="0"/>
          <w:sz w:val="28"/>
          <w:szCs w:val="28"/>
          <w:shd w:val="clear" w:color="auto" w:fill="FFFFFF"/>
        </w:rPr>
        <w:t>人。二级机构为</w:t>
      </w:r>
      <w:r>
        <w:rPr>
          <w:rFonts w:ascii="Times New Roman" w:eastAsia="楷体_GB2312" w:hAnsi="Times New Roman"/>
          <w:color w:val="333333"/>
          <w:kern w:val="0"/>
          <w:sz w:val="28"/>
          <w:szCs w:val="28"/>
          <w:shd w:val="clear" w:color="auto" w:fill="FFFFFF"/>
          <w:lang w:val="zh-CN"/>
        </w:rPr>
        <w:t>全额拨款参公和事业单位</w:t>
      </w:r>
      <w:r>
        <w:rPr>
          <w:rFonts w:ascii="Times New Roman" w:eastAsia="楷体_GB2312" w:hAnsi="Times New Roman"/>
          <w:color w:val="333333"/>
          <w:kern w:val="0"/>
          <w:sz w:val="28"/>
          <w:szCs w:val="28"/>
          <w:shd w:val="clear" w:color="auto" w:fill="FFFFFF"/>
        </w:rPr>
        <w:t>，核定编制数为</w:t>
      </w:r>
      <w:r>
        <w:rPr>
          <w:rFonts w:ascii="Times New Roman" w:eastAsia="楷体_GB2312" w:hAnsi="Times New Roman"/>
          <w:color w:val="333333"/>
          <w:kern w:val="0"/>
          <w:sz w:val="28"/>
          <w:szCs w:val="28"/>
          <w:shd w:val="clear" w:color="auto" w:fill="FFFFFF"/>
        </w:rPr>
        <w:t>62</w:t>
      </w:r>
      <w:r>
        <w:rPr>
          <w:rFonts w:ascii="Times New Roman" w:eastAsia="楷体_GB2312" w:hAnsi="Times New Roman"/>
          <w:color w:val="333333"/>
          <w:kern w:val="0"/>
          <w:sz w:val="28"/>
          <w:szCs w:val="28"/>
          <w:shd w:val="clear" w:color="auto" w:fill="FFFFFF"/>
        </w:rPr>
        <w:t>人，年末实有人数</w:t>
      </w:r>
      <w:r>
        <w:rPr>
          <w:rFonts w:ascii="Times New Roman" w:eastAsia="楷体_GB2312" w:hAnsi="Times New Roman"/>
          <w:color w:val="333333"/>
          <w:kern w:val="0"/>
          <w:sz w:val="28"/>
          <w:szCs w:val="28"/>
          <w:shd w:val="clear" w:color="auto" w:fill="FFFFFF"/>
        </w:rPr>
        <w:t xml:space="preserve"> 36</w:t>
      </w:r>
      <w:r>
        <w:rPr>
          <w:rFonts w:ascii="Times New Roman" w:eastAsia="楷体_GB2312" w:hAnsi="Times New Roman"/>
          <w:color w:val="333333"/>
          <w:kern w:val="0"/>
          <w:sz w:val="28"/>
          <w:szCs w:val="28"/>
          <w:shd w:val="clear" w:color="auto" w:fill="FFFFFF"/>
        </w:rPr>
        <w:t>人</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退休人员</w:t>
      </w:r>
      <w:r>
        <w:rPr>
          <w:rFonts w:ascii="Times New Roman" w:eastAsia="楷体_GB2312" w:hAnsi="Times New Roman"/>
          <w:color w:val="333333"/>
          <w:kern w:val="0"/>
          <w:sz w:val="28"/>
          <w:szCs w:val="28"/>
          <w:shd w:val="clear" w:color="auto" w:fill="FFFFFF"/>
        </w:rPr>
        <w:t xml:space="preserve"> 3</w:t>
      </w:r>
      <w:r>
        <w:rPr>
          <w:rFonts w:ascii="Times New Roman" w:eastAsia="楷体_GB2312" w:hAnsi="Times New Roman"/>
          <w:color w:val="333333"/>
          <w:kern w:val="0"/>
          <w:sz w:val="28"/>
          <w:szCs w:val="28"/>
          <w:shd w:val="clear" w:color="auto" w:fill="FFFFFF"/>
        </w:rPr>
        <w:t>人。</w:t>
      </w:r>
    </w:p>
    <w:p w:rsidR="0057447D" w:rsidRDefault="007A4AFA">
      <w:pPr>
        <w:widowControl/>
        <w:numPr>
          <w:ilvl w:val="0"/>
          <w:numId w:val="5"/>
        </w:numPr>
        <w:spacing w:line="620" w:lineRule="exact"/>
        <w:ind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b/>
          <w:bCs/>
          <w:color w:val="333333"/>
          <w:kern w:val="0"/>
          <w:sz w:val="28"/>
          <w:szCs w:val="28"/>
          <w:shd w:val="clear" w:color="auto" w:fill="FFFFFF"/>
        </w:rPr>
        <w:t>部门（单位）年度整体支出绩效目标</w:t>
      </w:r>
    </w:p>
    <w:p w:rsidR="0057447D" w:rsidRDefault="007A4AFA">
      <w:pPr>
        <w:widowControl/>
        <w:spacing w:line="620" w:lineRule="exact"/>
        <w:ind w:firstLineChars="200"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目标</w:t>
      </w:r>
      <w:r>
        <w:rPr>
          <w:rFonts w:ascii="Times New Roman" w:eastAsia="楷体_GB2312" w:hAnsi="Times New Roman"/>
          <w:color w:val="333333"/>
          <w:kern w:val="0"/>
          <w:sz w:val="28"/>
          <w:szCs w:val="28"/>
          <w:shd w:val="clear" w:color="auto" w:fill="FFFFFF"/>
        </w:rPr>
        <w:t>1</w:t>
      </w:r>
      <w:r>
        <w:rPr>
          <w:rFonts w:ascii="Times New Roman" w:eastAsia="楷体_GB2312" w:hAnsi="Times New Roman"/>
          <w:color w:val="333333"/>
          <w:kern w:val="0"/>
          <w:sz w:val="28"/>
          <w:szCs w:val="28"/>
          <w:shd w:val="clear" w:color="auto" w:fill="FFFFFF"/>
        </w:rPr>
        <w:t>：实现应保尽保，做到基本医保依法覆盖全民</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城乡居民参保率达到</w:t>
      </w:r>
      <w:r>
        <w:rPr>
          <w:rFonts w:ascii="Times New Roman" w:eastAsia="楷体_GB2312" w:hAnsi="Times New Roman"/>
          <w:color w:val="333333"/>
          <w:kern w:val="0"/>
          <w:sz w:val="28"/>
          <w:szCs w:val="28"/>
          <w:shd w:val="clear" w:color="auto" w:fill="FFFFFF"/>
        </w:rPr>
        <w:t>95%</w:t>
      </w:r>
      <w:r>
        <w:rPr>
          <w:rFonts w:ascii="Times New Roman" w:eastAsia="楷体_GB2312" w:hAnsi="Times New Roman"/>
          <w:color w:val="333333"/>
          <w:kern w:val="0"/>
          <w:sz w:val="28"/>
          <w:szCs w:val="28"/>
          <w:shd w:val="clear" w:color="auto" w:fill="FFFFFF"/>
        </w:rPr>
        <w:t>以上，贫困人口参保率达</w:t>
      </w:r>
      <w:r>
        <w:rPr>
          <w:rFonts w:ascii="Times New Roman" w:eastAsia="楷体_GB2312" w:hAnsi="Times New Roman"/>
          <w:color w:val="333333"/>
          <w:kern w:val="0"/>
          <w:sz w:val="28"/>
          <w:szCs w:val="28"/>
          <w:shd w:val="clear" w:color="auto" w:fill="FFFFFF"/>
        </w:rPr>
        <w:t>100%</w:t>
      </w:r>
      <w:r>
        <w:rPr>
          <w:rFonts w:ascii="Times New Roman" w:eastAsia="楷体_GB2312" w:hAnsi="Times New Roman"/>
          <w:color w:val="333333"/>
          <w:kern w:val="0"/>
          <w:sz w:val="28"/>
          <w:szCs w:val="28"/>
          <w:shd w:val="clear" w:color="auto" w:fill="FFFFFF"/>
        </w:rPr>
        <w:t>。</w:t>
      </w:r>
    </w:p>
    <w:p w:rsidR="0057447D" w:rsidRDefault="007A4AFA">
      <w:pPr>
        <w:widowControl/>
        <w:spacing w:line="620" w:lineRule="exact"/>
        <w:ind w:firstLineChars="200"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目标</w:t>
      </w:r>
      <w:r>
        <w:rPr>
          <w:rFonts w:ascii="Times New Roman" w:eastAsia="楷体_GB2312" w:hAnsi="Times New Roman"/>
          <w:color w:val="333333"/>
          <w:kern w:val="0"/>
          <w:sz w:val="28"/>
          <w:szCs w:val="28"/>
          <w:shd w:val="clear" w:color="auto" w:fill="FFFFFF"/>
        </w:rPr>
        <w:t>2</w:t>
      </w:r>
      <w:r>
        <w:rPr>
          <w:rFonts w:ascii="Times New Roman" w:eastAsia="楷体_GB2312" w:hAnsi="Times New Roman"/>
          <w:color w:val="333333"/>
          <w:kern w:val="0"/>
          <w:sz w:val="28"/>
          <w:szCs w:val="28"/>
          <w:shd w:val="clear" w:color="auto" w:fill="FFFFFF"/>
        </w:rPr>
        <w:t>：落细落地待遇保障政策</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规范城乡居民门诊统筹、</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两病</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用药经办流程。</w:t>
      </w:r>
    </w:p>
    <w:p w:rsidR="0057447D" w:rsidRDefault="007A4AFA">
      <w:pPr>
        <w:widowControl/>
        <w:spacing w:line="580" w:lineRule="exact"/>
        <w:ind w:firstLineChars="200"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lastRenderedPageBreak/>
        <w:t>目标</w:t>
      </w:r>
      <w:r>
        <w:rPr>
          <w:rFonts w:ascii="Times New Roman" w:eastAsia="楷体_GB2312" w:hAnsi="Times New Roman"/>
          <w:color w:val="333333"/>
          <w:kern w:val="0"/>
          <w:sz w:val="28"/>
          <w:szCs w:val="28"/>
          <w:shd w:val="clear" w:color="auto" w:fill="FFFFFF"/>
        </w:rPr>
        <w:t>3</w:t>
      </w:r>
      <w:r>
        <w:rPr>
          <w:rFonts w:ascii="Times New Roman" w:eastAsia="楷体_GB2312" w:hAnsi="Times New Roman"/>
          <w:color w:val="333333"/>
          <w:kern w:val="0"/>
          <w:sz w:val="28"/>
          <w:szCs w:val="28"/>
          <w:shd w:val="clear" w:color="auto" w:fill="FFFFFF"/>
        </w:rPr>
        <w:t>：巩固脱贫质量，确保贫困人口参保率达</w:t>
      </w:r>
      <w:r>
        <w:rPr>
          <w:rFonts w:ascii="Times New Roman" w:eastAsia="楷体_GB2312" w:hAnsi="Times New Roman"/>
          <w:color w:val="333333"/>
          <w:kern w:val="0"/>
          <w:sz w:val="28"/>
          <w:szCs w:val="28"/>
          <w:shd w:val="clear" w:color="auto" w:fill="FFFFFF"/>
        </w:rPr>
        <w:t>100%,</w:t>
      </w:r>
      <w:r>
        <w:rPr>
          <w:rFonts w:ascii="Times New Roman" w:eastAsia="楷体_GB2312" w:hAnsi="Times New Roman"/>
          <w:color w:val="333333"/>
          <w:kern w:val="0"/>
          <w:sz w:val="28"/>
          <w:szCs w:val="28"/>
          <w:shd w:val="clear" w:color="auto" w:fill="FFFFFF"/>
        </w:rPr>
        <w:t>确保贫困人口住院医疗费用</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一站式</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结算，资金到位率</w:t>
      </w:r>
      <w:r>
        <w:rPr>
          <w:rFonts w:ascii="Times New Roman" w:eastAsia="楷体_GB2312" w:hAnsi="Times New Roman"/>
          <w:color w:val="333333"/>
          <w:kern w:val="0"/>
          <w:sz w:val="28"/>
          <w:szCs w:val="28"/>
          <w:shd w:val="clear" w:color="auto" w:fill="FFFFFF"/>
        </w:rPr>
        <w:t>100%,</w:t>
      </w:r>
      <w:r>
        <w:rPr>
          <w:rFonts w:ascii="Times New Roman" w:eastAsia="楷体_GB2312" w:hAnsi="Times New Roman"/>
          <w:color w:val="333333"/>
          <w:kern w:val="0"/>
          <w:sz w:val="28"/>
          <w:szCs w:val="28"/>
          <w:shd w:val="clear" w:color="auto" w:fill="FFFFFF"/>
        </w:rPr>
        <w:t>确保贫困人口县域内住院医疗费用综合实际报销比例达</w:t>
      </w:r>
      <w:r>
        <w:rPr>
          <w:rFonts w:ascii="Times New Roman" w:eastAsia="楷体_GB2312" w:hAnsi="Times New Roman"/>
          <w:color w:val="333333"/>
          <w:kern w:val="0"/>
          <w:sz w:val="28"/>
          <w:szCs w:val="28"/>
          <w:shd w:val="clear" w:color="auto" w:fill="FFFFFF"/>
        </w:rPr>
        <w:t>85%</w:t>
      </w:r>
      <w:r>
        <w:rPr>
          <w:rFonts w:ascii="Times New Roman" w:eastAsia="楷体_GB2312" w:hAnsi="Times New Roman"/>
          <w:color w:val="333333"/>
          <w:kern w:val="0"/>
          <w:sz w:val="28"/>
          <w:szCs w:val="28"/>
          <w:shd w:val="clear" w:color="auto" w:fill="FFFFFF"/>
        </w:rPr>
        <w:t>以上，不超过</w:t>
      </w:r>
      <w:r>
        <w:rPr>
          <w:rFonts w:ascii="Times New Roman" w:eastAsia="楷体_GB2312" w:hAnsi="Times New Roman"/>
          <w:color w:val="333333"/>
          <w:kern w:val="0"/>
          <w:sz w:val="28"/>
          <w:szCs w:val="28"/>
          <w:shd w:val="clear" w:color="auto" w:fill="FFFFFF"/>
        </w:rPr>
        <w:t>90%</w:t>
      </w:r>
      <w:r>
        <w:rPr>
          <w:rFonts w:ascii="Times New Roman" w:eastAsia="楷体_GB2312" w:hAnsi="Times New Roman"/>
          <w:color w:val="333333"/>
          <w:kern w:val="0"/>
          <w:sz w:val="28"/>
          <w:szCs w:val="28"/>
          <w:shd w:val="clear" w:color="auto" w:fill="FFFFFF"/>
        </w:rPr>
        <w:t>。</w:t>
      </w:r>
    </w:p>
    <w:p w:rsidR="0057447D" w:rsidRDefault="007A4AFA">
      <w:pPr>
        <w:widowControl/>
        <w:spacing w:line="600" w:lineRule="exact"/>
        <w:ind w:firstLineChars="200"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目标</w:t>
      </w:r>
      <w:r>
        <w:rPr>
          <w:rFonts w:ascii="Times New Roman" w:eastAsia="楷体_GB2312" w:hAnsi="Times New Roman"/>
          <w:color w:val="333333"/>
          <w:kern w:val="0"/>
          <w:sz w:val="28"/>
          <w:szCs w:val="28"/>
          <w:shd w:val="clear" w:color="auto" w:fill="FFFFFF"/>
        </w:rPr>
        <w:t>4</w:t>
      </w:r>
      <w:r>
        <w:rPr>
          <w:rFonts w:ascii="Times New Roman" w:eastAsia="楷体_GB2312" w:hAnsi="Times New Roman"/>
          <w:color w:val="333333"/>
          <w:kern w:val="0"/>
          <w:sz w:val="28"/>
          <w:szCs w:val="28"/>
          <w:shd w:val="clear" w:color="auto" w:fill="FFFFFF"/>
        </w:rPr>
        <w:t>：深化医保体制改革，按省要求全面启动基本医疗保险和生育保险州级统筹。</w:t>
      </w:r>
    </w:p>
    <w:p w:rsidR="0057447D" w:rsidRDefault="007A4AFA">
      <w:pPr>
        <w:widowControl/>
        <w:spacing w:line="600" w:lineRule="exact"/>
        <w:ind w:firstLineChars="200"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目标</w:t>
      </w:r>
      <w:r>
        <w:rPr>
          <w:rFonts w:ascii="Times New Roman" w:eastAsia="楷体_GB2312" w:hAnsi="Times New Roman"/>
          <w:color w:val="333333"/>
          <w:kern w:val="0"/>
          <w:sz w:val="28"/>
          <w:szCs w:val="28"/>
          <w:shd w:val="clear" w:color="auto" w:fill="FFFFFF"/>
        </w:rPr>
        <w:t>5</w:t>
      </w:r>
      <w:r>
        <w:rPr>
          <w:rFonts w:ascii="Times New Roman" w:eastAsia="楷体_GB2312" w:hAnsi="Times New Roman"/>
          <w:color w:val="333333"/>
          <w:kern w:val="0"/>
          <w:sz w:val="28"/>
          <w:szCs w:val="28"/>
          <w:shd w:val="clear" w:color="auto" w:fill="FFFFFF"/>
        </w:rPr>
        <w:t>：深化药品耗材改革，治理药品耗材虚高问题</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继续巩固和完善三明药品（耗材）联盟，启动低值耗材联合限价采购。</w:t>
      </w:r>
    </w:p>
    <w:p w:rsidR="0057447D" w:rsidRDefault="007A4AFA">
      <w:pPr>
        <w:widowControl/>
        <w:spacing w:line="600" w:lineRule="exact"/>
        <w:ind w:firstLineChars="200"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目标</w:t>
      </w:r>
      <w:r>
        <w:rPr>
          <w:rFonts w:ascii="Times New Roman" w:eastAsia="楷体_GB2312" w:hAnsi="Times New Roman"/>
          <w:color w:val="333333"/>
          <w:kern w:val="0"/>
          <w:sz w:val="28"/>
          <w:szCs w:val="28"/>
          <w:shd w:val="clear" w:color="auto" w:fill="FFFFFF"/>
        </w:rPr>
        <w:t>6</w:t>
      </w:r>
      <w:r>
        <w:rPr>
          <w:rFonts w:ascii="Times New Roman" w:eastAsia="楷体_GB2312" w:hAnsi="Times New Roman"/>
          <w:color w:val="333333"/>
          <w:kern w:val="0"/>
          <w:sz w:val="28"/>
          <w:szCs w:val="28"/>
          <w:shd w:val="clear" w:color="auto" w:fill="FFFFFF"/>
        </w:rPr>
        <w:t>：推进医保支付方式改革，发挥医保基金最大效益</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探索按协议约定向医疗机构预付部分医保资金，缓解其资金运行压力。</w:t>
      </w:r>
    </w:p>
    <w:p w:rsidR="0057447D" w:rsidRDefault="007A4AFA">
      <w:pPr>
        <w:widowControl/>
        <w:spacing w:line="600" w:lineRule="exact"/>
        <w:ind w:firstLineChars="200"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目标</w:t>
      </w:r>
      <w:r>
        <w:rPr>
          <w:rFonts w:ascii="Times New Roman" w:eastAsia="楷体_GB2312" w:hAnsi="Times New Roman"/>
          <w:color w:val="333333"/>
          <w:kern w:val="0"/>
          <w:sz w:val="28"/>
          <w:szCs w:val="28"/>
          <w:shd w:val="clear" w:color="auto" w:fill="FFFFFF"/>
        </w:rPr>
        <w:t>7</w:t>
      </w:r>
      <w:r>
        <w:rPr>
          <w:rFonts w:ascii="Times New Roman" w:eastAsia="楷体_GB2312" w:hAnsi="Times New Roman"/>
          <w:color w:val="333333"/>
          <w:kern w:val="0"/>
          <w:sz w:val="28"/>
          <w:szCs w:val="28"/>
          <w:shd w:val="clear" w:color="auto" w:fill="FFFFFF"/>
        </w:rPr>
        <w:t>：完善重大疫情医疗救治费用保障机制</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在突发疫情等紧急情况时，确保医疗机构先救治、后收费</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健全重大疫情医疗救治医保支付政策，完善异地就医直接结算制度，确保患者不因费用问题影响就医。</w:t>
      </w:r>
    </w:p>
    <w:p w:rsidR="0057447D" w:rsidRDefault="007A4AFA">
      <w:pPr>
        <w:widowControl/>
        <w:spacing w:line="600" w:lineRule="exact"/>
        <w:ind w:firstLineChars="200"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目标</w:t>
      </w:r>
      <w:r>
        <w:rPr>
          <w:rFonts w:ascii="Times New Roman" w:eastAsia="楷体_GB2312" w:hAnsi="Times New Roman"/>
          <w:color w:val="333333"/>
          <w:kern w:val="0"/>
          <w:sz w:val="28"/>
          <w:szCs w:val="28"/>
          <w:shd w:val="clear" w:color="auto" w:fill="FFFFFF"/>
        </w:rPr>
        <w:t>8</w:t>
      </w:r>
      <w:r>
        <w:rPr>
          <w:rFonts w:ascii="Times New Roman" w:eastAsia="楷体_GB2312" w:hAnsi="Times New Roman"/>
          <w:color w:val="333333"/>
          <w:kern w:val="0"/>
          <w:sz w:val="28"/>
          <w:szCs w:val="28"/>
          <w:shd w:val="clear" w:color="auto" w:fill="FFFFFF"/>
        </w:rPr>
        <w:t>：加强基金监管，保障医保基金安全</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坚决查处医疗机构内外勾结欺诈骗保行为，建立和强化长效机制。</w:t>
      </w:r>
    </w:p>
    <w:p w:rsidR="0057447D" w:rsidRDefault="007A4AFA">
      <w:pPr>
        <w:widowControl/>
        <w:spacing w:line="600" w:lineRule="exact"/>
        <w:ind w:firstLineChars="200"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目标</w:t>
      </w:r>
      <w:r>
        <w:rPr>
          <w:rFonts w:ascii="Times New Roman" w:eastAsia="楷体_GB2312" w:hAnsi="Times New Roman"/>
          <w:color w:val="333333"/>
          <w:kern w:val="0"/>
          <w:sz w:val="28"/>
          <w:szCs w:val="28"/>
          <w:shd w:val="clear" w:color="auto" w:fill="FFFFFF"/>
        </w:rPr>
        <w:t>9</w:t>
      </w:r>
      <w:r>
        <w:rPr>
          <w:rFonts w:ascii="Times New Roman" w:eastAsia="楷体_GB2312" w:hAnsi="Times New Roman"/>
          <w:color w:val="333333"/>
          <w:kern w:val="0"/>
          <w:sz w:val="28"/>
          <w:szCs w:val="28"/>
          <w:shd w:val="clear" w:color="auto" w:fill="FFFFFF"/>
        </w:rPr>
        <w:t>：深化放管服改革，优化医保经办服务。推进医保经办服务标准化规范化，实现医疗保障一站式服务、一窗口办理、一单制结算</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加快推进服务事项网上办理，提高运行效率和服务质量。</w:t>
      </w:r>
    </w:p>
    <w:p w:rsidR="0057447D" w:rsidRDefault="007A4AFA">
      <w:pPr>
        <w:widowControl/>
        <w:numPr>
          <w:ilvl w:val="0"/>
          <w:numId w:val="5"/>
        </w:numPr>
        <w:spacing w:line="600" w:lineRule="exact"/>
        <w:ind w:firstLine="560"/>
        <w:rPr>
          <w:rFonts w:ascii="Times New Roman" w:eastAsia="楷体_GB2312" w:hAnsi="Times New Roman"/>
          <w:b/>
          <w:bCs/>
          <w:color w:val="333333"/>
          <w:kern w:val="0"/>
          <w:sz w:val="28"/>
          <w:szCs w:val="28"/>
          <w:shd w:val="clear" w:color="auto" w:fill="FFFFFF"/>
        </w:rPr>
      </w:pPr>
      <w:r>
        <w:rPr>
          <w:rFonts w:ascii="Times New Roman" w:eastAsia="楷体_GB2312" w:hAnsi="Times New Roman"/>
          <w:b/>
          <w:bCs/>
          <w:color w:val="333333"/>
          <w:kern w:val="0"/>
          <w:sz w:val="28"/>
          <w:szCs w:val="28"/>
          <w:shd w:val="clear" w:color="auto" w:fill="FFFFFF"/>
        </w:rPr>
        <w:t>州级专项资金项目支出绩效目标</w:t>
      </w:r>
    </w:p>
    <w:p w:rsidR="0057447D" w:rsidRDefault="007A4AFA">
      <w:pPr>
        <w:widowControl/>
        <w:spacing w:line="600" w:lineRule="exact"/>
        <w:ind w:firstLineChars="200"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1</w:t>
      </w:r>
      <w:r>
        <w:rPr>
          <w:rFonts w:ascii="Times New Roman" w:eastAsia="楷体_GB2312" w:hAnsi="Times New Roman"/>
          <w:color w:val="333333"/>
          <w:kern w:val="0"/>
          <w:sz w:val="28"/>
          <w:szCs w:val="28"/>
          <w:shd w:val="clear" w:color="auto" w:fill="FFFFFF"/>
        </w:rPr>
        <w:t>、医保待遇发放运转经费：组织制定和实施全州医疗保障筹资和待遇政策，完善动态调整和区域调剂平衡机制，统筹城乡医疗保障待遇标准，建立健全与筹资水平相适应的待遇调整机制，组织拟订并实施长期护理保险制度改革方案。</w:t>
      </w:r>
    </w:p>
    <w:p w:rsidR="0057447D" w:rsidRDefault="007A4AFA">
      <w:pPr>
        <w:widowControl/>
        <w:spacing w:line="620" w:lineRule="exact"/>
        <w:ind w:firstLineChars="200"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lastRenderedPageBreak/>
        <w:t>2</w:t>
      </w:r>
      <w:r>
        <w:rPr>
          <w:rFonts w:ascii="Times New Roman" w:eastAsia="楷体_GB2312" w:hAnsi="Times New Roman"/>
          <w:color w:val="333333"/>
          <w:kern w:val="0"/>
          <w:sz w:val="28"/>
          <w:szCs w:val="28"/>
          <w:shd w:val="clear" w:color="auto" w:fill="FFFFFF"/>
        </w:rPr>
        <w:t>、医疗保障发展运转经费：完善城乡居民基本医疗保险制度和大病保险制度，巩固完善城乡居民医疗救助制度，建立健全覆盖全民、城乡统筹的多层次医疗保障体系，不断提高医疗保障水平，确保医保资金合理使用、安全可控，推进医疗、医保、医药</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三医联动</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改革，更好保障人民群众就医需求、减轻医药费用负担。确保医保基金足额征缴</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并及时结算</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支付</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确保基金安全。</w:t>
      </w:r>
    </w:p>
    <w:p w:rsidR="0057447D" w:rsidRDefault="007A4AFA">
      <w:pPr>
        <w:widowControl/>
        <w:spacing w:line="620" w:lineRule="exact"/>
        <w:ind w:firstLine="562"/>
        <w:rPr>
          <w:rFonts w:ascii="Times New Roman" w:eastAsia="楷体_GB2312" w:hAnsi="Times New Roman"/>
          <w:sz w:val="28"/>
          <w:szCs w:val="28"/>
        </w:rPr>
      </w:pPr>
      <w:r>
        <w:rPr>
          <w:rFonts w:ascii="Times New Roman" w:eastAsia="楷体_GB2312" w:hAnsi="Times New Roman"/>
          <w:b/>
          <w:color w:val="333333"/>
          <w:kern w:val="0"/>
          <w:sz w:val="28"/>
          <w:szCs w:val="28"/>
          <w:shd w:val="clear" w:color="auto" w:fill="FFFFFF"/>
        </w:rPr>
        <w:t>二、一般公共预算支出情况</w:t>
      </w:r>
    </w:p>
    <w:p w:rsidR="0057447D" w:rsidRDefault="007A4AFA">
      <w:pPr>
        <w:widowControl/>
        <w:spacing w:line="620" w:lineRule="exact"/>
        <w:ind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本单位</w:t>
      </w:r>
      <w:r>
        <w:rPr>
          <w:rFonts w:ascii="Times New Roman" w:eastAsia="楷体_GB2312" w:hAnsi="Times New Roman"/>
          <w:color w:val="333333"/>
          <w:kern w:val="0"/>
          <w:sz w:val="28"/>
          <w:szCs w:val="28"/>
          <w:shd w:val="clear" w:color="auto" w:fill="FFFFFF"/>
        </w:rPr>
        <w:t>2020</w:t>
      </w:r>
      <w:r>
        <w:rPr>
          <w:rFonts w:ascii="Times New Roman" w:eastAsia="楷体_GB2312" w:hAnsi="Times New Roman"/>
          <w:color w:val="333333"/>
          <w:kern w:val="0"/>
          <w:sz w:val="28"/>
          <w:szCs w:val="28"/>
          <w:shd w:val="clear" w:color="auto" w:fill="FFFFFF"/>
        </w:rPr>
        <w:t>年一般公共预算财政拨款支出</w:t>
      </w:r>
      <w:r>
        <w:rPr>
          <w:rFonts w:ascii="Times New Roman" w:eastAsia="楷体_GB2312" w:hAnsi="Times New Roman"/>
          <w:color w:val="333333"/>
          <w:kern w:val="0"/>
          <w:sz w:val="28"/>
          <w:szCs w:val="28"/>
          <w:shd w:val="clear" w:color="auto" w:fill="FFFFFF"/>
        </w:rPr>
        <w:t>2181.11</w:t>
      </w:r>
      <w:r>
        <w:rPr>
          <w:rFonts w:ascii="Times New Roman" w:eastAsia="楷体_GB2312" w:hAnsi="Times New Roman"/>
          <w:color w:val="333333"/>
          <w:kern w:val="0"/>
          <w:sz w:val="28"/>
          <w:szCs w:val="28"/>
          <w:shd w:val="clear" w:color="auto" w:fill="FFFFFF"/>
        </w:rPr>
        <w:t>万元，包括：基本支出</w:t>
      </w:r>
      <w:r>
        <w:rPr>
          <w:rFonts w:ascii="Times New Roman" w:eastAsia="楷体_GB2312" w:hAnsi="Times New Roman"/>
          <w:color w:val="333333"/>
          <w:kern w:val="0"/>
          <w:sz w:val="28"/>
          <w:szCs w:val="28"/>
          <w:shd w:val="clear" w:color="auto" w:fill="FFFFFF"/>
        </w:rPr>
        <w:t>742.53</w:t>
      </w:r>
      <w:r>
        <w:rPr>
          <w:rFonts w:ascii="Times New Roman" w:eastAsia="楷体_GB2312" w:hAnsi="Times New Roman"/>
          <w:color w:val="333333"/>
          <w:kern w:val="0"/>
          <w:sz w:val="28"/>
          <w:szCs w:val="28"/>
          <w:shd w:val="clear" w:color="auto" w:fill="FFFFFF"/>
        </w:rPr>
        <w:t>万元、项目支出</w:t>
      </w:r>
      <w:r>
        <w:rPr>
          <w:rFonts w:ascii="Times New Roman" w:eastAsia="楷体_GB2312" w:hAnsi="Times New Roman"/>
          <w:color w:val="333333"/>
          <w:kern w:val="0"/>
          <w:sz w:val="28"/>
          <w:szCs w:val="28"/>
          <w:shd w:val="clear" w:color="auto" w:fill="FFFFFF"/>
        </w:rPr>
        <w:t>1438.58</w:t>
      </w:r>
      <w:r>
        <w:rPr>
          <w:rFonts w:ascii="Times New Roman" w:eastAsia="楷体_GB2312" w:hAnsi="Times New Roman"/>
          <w:color w:val="333333"/>
          <w:kern w:val="0"/>
          <w:sz w:val="28"/>
          <w:szCs w:val="28"/>
          <w:shd w:val="clear" w:color="auto" w:fill="FFFFFF"/>
        </w:rPr>
        <w:t>万元。</w:t>
      </w:r>
    </w:p>
    <w:p w:rsidR="0057447D" w:rsidRDefault="007A4AFA">
      <w:pPr>
        <w:widowControl/>
        <w:spacing w:line="620" w:lineRule="exact"/>
        <w:ind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（一）基本支出情况</w:t>
      </w:r>
    </w:p>
    <w:p w:rsidR="0057447D" w:rsidRDefault="007A4AFA">
      <w:pPr>
        <w:widowControl/>
        <w:spacing w:line="620" w:lineRule="exact"/>
        <w:ind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2020</w:t>
      </w:r>
      <w:r>
        <w:rPr>
          <w:rFonts w:ascii="Times New Roman" w:eastAsia="楷体_GB2312" w:hAnsi="Times New Roman"/>
          <w:color w:val="333333"/>
          <w:kern w:val="0"/>
          <w:sz w:val="28"/>
          <w:szCs w:val="28"/>
          <w:shd w:val="clear" w:color="auto" w:fill="FFFFFF"/>
        </w:rPr>
        <w:t>年财政批复的基本支出全年预算数为</w:t>
      </w:r>
      <w:r>
        <w:rPr>
          <w:rFonts w:ascii="Times New Roman" w:eastAsia="楷体_GB2312" w:hAnsi="Times New Roman"/>
          <w:color w:val="333333"/>
          <w:kern w:val="0"/>
          <w:sz w:val="28"/>
          <w:szCs w:val="28"/>
          <w:shd w:val="clear" w:color="auto" w:fill="FFFFFF"/>
        </w:rPr>
        <w:t>745.50</w:t>
      </w:r>
      <w:r>
        <w:rPr>
          <w:rFonts w:ascii="Times New Roman" w:eastAsia="楷体_GB2312" w:hAnsi="Times New Roman"/>
          <w:color w:val="333333"/>
          <w:kern w:val="0"/>
          <w:sz w:val="28"/>
          <w:szCs w:val="28"/>
          <w:shd w:val="clear" w:color="auto" w:fill="FFFFFF"/>
        </w:rPr>
        <w:t>万元，其中：年初预算</w:t>
      </w:r>
      <w:r>
        <w:rPr>
          <w:rFonts w:ascii="Times New Roman" w:eastAsia="楷体_GB2312" w:hAnsi="Times New Roman"/>
          <w:color w:val="333333"/>
          <w:kern w:val="0"/>
          <w:sz w:val="28"/>
          <w:szCs w:val="28"/>
          <w:shd w:val="clear" w:color="auto" w:fill="FFFFFF"/>
        </w:rPr>
        <w:t>505.18</w:t>
      </w:r>
      <w:r>
        <w:rPr>
          <w:rFonts w:ascii="Times New Roman" w:eastAsia="楷体_GB2312" w:hAnsi="Times New Roman"/>
          <w:color w:val="333333"/>
          <w:kern w:val="0"/>
          <w:sz w:val="28"/>
          <w:szCs w:val="28"/>
          <w:shd w:val="clear" w:color="auto" w:fill="FFFFFF"/>
        </w:rPr>
        <w:t>万元，年中调整追加预算</w:t>
      </w:r>
      <w:r>
        <w:rPr>
          <w:rFonts w:ascii="Times New Roman" w:eastAsia="楷体_GB2312" w:hAnsi="Times New Roman"/>
          <w:color w:val="333333"/>
          <w:kern w:val="0"/>
          <w:sz w:val="28"/>
          <w:szCs w:val="28"/>
          <w:shd w:val="clear" w:color="auto" w:fill="FFFFFF"/>
        </w:rPr>
        <w:t>240.32</w:t>
      </w:r>
      <w:r>
        <w:rPr>
          <w:rFonts w:ascii="Times New Roman" w:eastAsia="楷体_GB2312" w:hAnsi="Times New Roman"/>
          <w:color w:val="333333"/>
          <w:kern w:val="0"/>
          <w:sz w:val="28"/>
          <w:szCs w:val="28"/>
          <w:shd w:val="clear" w:color="auto" w:fill="FFFFFF"/>
        </w:rPr>
        <w:t>万元。本年实际支出</w:t>
      </w:r>
      <w:r>
        <w:rPr>
          <w:rFonts w:ascii="Times New Roman" w:eastAsia="楷体_GB2312" w:hAnsi="Times New Roman"/>
          <w:color w:val="333333"/>
          <w:kern w:val="0"/>
          <w:sz w:val="28"/>
          <w:szCs w:val="28"/>
          <w:shd w:val="clear" w:color="auto" w:fill="FFFFFF"/>
        </w:rPr>
        <w:t>742.53</w:t>
      </w:r>
      <w:r>
        <w:rPr>
          <w:rFonts w:ascii="Times New Roman" w:eastAsia="楷体_GB2312" w:hAnsi="Times New Roman"/>
          <w:color w:val="333333"/>
          <w:kern w:val="0"/>
          <w:sz w:val="28"/>
          <w:szCs w:val="28"/>
          <w:shd w:val="clear" w:color="auto" w:fill="FFFFFF"/>
        </w:rPr>
        <w:t>万元，其中：人员经费</w:t>
      </w:r>
      <w:r>
        <w:rPr>
          <w:rFonts w:ascii="Times New Roman" w:eastAsia="楷体_GB2312" w:hAnsi="Times New Roman"/>
          <w:color w:val="333333"/>
          <w:kern w:val="0"/>
          <w:sz w:val="28"/>
          <w:szCs w:val="28"/>
          <w:shd w:val="clear" w:color="auto" w:fill="FFFFFF"/>
        </w:rPr>
        <w:t xml:space="preserve">715.72 </w:t>
      </w:r>
      <w:r>
        <w:rPr>
          <w:rFonts w:ascii="Times New Roman" w:eastAsia="楷体_GB2312" w:hAnsi="Times New Roman"/>
          <w:color w:val="333333"/>
          <w:kern w:val="0"/>
          <w:sz w:val="28"/>
          <w:szCs w:val="28"/>
          <w:shd w:val="clear" w:color="auto" w:fill="FFFFFF"/>
        </w:rPr>
        <w:t>万元，包括工资福利支出</w:t>
      </w:r>
      <w:r>
        <w:rPr>
          <w:rFonts w:ascii="Times New Roman" w:eastAsia="楷体_GB2312" w:hAnsi="Times New Roman"/>
          <w:color w:val="333333"/>
          <w:kern w:val="0"/>
          <w:sz w:val="28"/>
          <w:szCs w:val="28"/>
          <w:shd w:val="clear" w:color="auto" w:fill="FFFFFF"/>
        </w:rPr>
        <w:t>552.94</w:t>
      </w:r>
      <w:r>
        <w:rPr>
          <w:rFonts w:ascii="Times New Roman" w:eastAsia="楷体_GB2312" w:hAnsi="Times New Roman"/>
          <w:color w:val="333333"/>
          <w:kern w:val="0"/>
          <w:sz w:val="28"/>
          <w:szCs w:val="28"/>
          <w:shd w:val="clear" w:color="auto" w:fill="FFFFFF"/>
        </w:rPr>
        <w:t>万元，对个人和家庭补助</w:t>
      </w:r>
      <w:r>
        <w:rPr>
          <w:rFonts w:ascii="Times New Roman" w:eastAsia="楷体_GB2312" w:hAnsi="Times New Roman"/>
          <w:color w:val="333333"/>
          <w:kern w:val="0"/>
          <w:sz w:val="28"/>
          <w:szCs w:val="28"/>
          <w:shd w:val="clear" w:color="auto" w:fill="FFFFFF"/>
        </w:rPr>
        <w:t>26.81</w:t>
      </w:r>
      <w:r>
        <w:rPr>
          <w:rFonts w:ascii="Times New Roman" w:eastAsia="楷体_GB2312" w:hAnsi="Times New Roman"/>
          <w:color w:val="333333"/>
          <w:kern w:val="0"/>
          <w:sz w:val="28"/>
          <w:szCs w:val="28"/>
          <w:shd w:val="clear" w:color="auto" w:fill="FFFFFF"/>
        </w:rPr>
        <w:t>万元。人员经费占基本支出的</w:t>
      </w:r>
      <w:r>
        <w:rPr>
          <w:rFonts w:ascii="Times New Roman" w:eastAsia="楷体_GB2312" w:hAnsi="Times New Roman"/>
          <w:color w:val="333333"/>
          <w:kern w:val="0"/>
          <w:sz w:val="28"/>
          <w:szCs w:val="28"/>
          <w:shd w:val="clear" w:color="auto" w:fill="FFFFFF"/>
        </w:rPr>
        <w:t>95.84%</w:t>
      </w:r>
      <w:r>
        <w:rPr>
          <w:rFonts w:ascii="Times New Roman" w:eastAsia="楷体_GB2312" w:hAnsi="Times New Roman"/>
          <w:color w:val="333333"/>
          <w:kern w:val="0"/>
          <w:sz w:val="28"/>
          <w:szCs w:val="28"/>
          <w:shd w:val="clear" w:color="auto" w:fill="FFFFFF"/>
        </w:rPr>
        <w:t>；日常公用经费</w:t>
      </w:r>
      <w:r>
        <w:rPr>
          <w:rFonts w:ascii="Times New Roman" w:eastAsia="楷体_GB2312" w:hAnsi="Times New Roman"/>
          <w:color w:val="333333"/>
          <w:kern w:val="0"/>
          <w:sz w:val="28"/>
          <w:szCs w:val="28"/>
          <w:shd w:val="clear" w:color="auto" w:fill="FFFFFF"/>
        </w:rPr>
        <w:t>4.56</w:t>
      </w:r>
      <w:r>
        <w:rPr>
          <w:rFonts w:ascii="Times New Roman" w:eastAsia="楷体_GB2312" w:hAnsi="Times New Roman"/>
          <w:color w:val="333333"/>
          <w:kern w:val="0"/>
          <w:sz w:val="28"/>
          <w:szCs w:val="28"/>
          <w:shd w:val="clear" w:color="auto" w:fill="FFFFFF"/>
        </w:rPr>
        <w:t>万元，均为办公费，占基本支出的</w:t>
      </w:r>
      <w:r>
        <w:rPr>
          <w:rFonts w:ascii="Times New Roman" w:eastAsia="楷体_GB2312" w:hAnsi="Times New Roman"/>
          <w:color w:val="333333"/>
          <w:kern w:val="0"/>
          <w:sz w:val="28"/>
          <w:szCs w:val="28"/>
          <w:shd w:val="clear" w:color="auto" w:fill="FFFFFF"/>
        </w:rPr>
        <w:t>12%</w:t>
      </w:r>
      <w:r>
        <w:rPr>
          <w:rFonts w:ascii="Times New Roman" w:eastAsia="楷体_GB2312" w:hAnsi="Times New Roman"/>
          <w:color w:val="333333"/>
          <w:kern w:val="0"/>
          <w:sz w:val="28"/>
          <w:szCs w:val="28"/>
          <w:shd w:val="clear" w:color="auto" w:fill="FFFFFF"/>
        </w:rPr>
        <w:t>。</w:t>
      </w:r>
      <w:r>
        <w:rPr>
          <w:rFonts w:ascii="Times New Roman" w:eastAsia="楷体_GB2312" w:hAnsi="Times New Roman"/>
          <w:color w:val="333333"/>
          <w:kern w:val="0"/>
          <w:sz w:val="28"/>
          <w:szCs w:val="28"/>
          <w:shd w:val="clear" w:color="auto" w:fill="FFFFFF"/>
        </w:rPr>
        <w:t> </w:t>
      </w:r>
    </w:p>
    <w:p w:rsidR="0057447D" w:rsidRDefault="007A4AFA">
      <w:pPr>
        <w:widowControl/>
        <w:spacing w:line="620" w:lineRule="exact"/>
        <w:ind w:firstLine="562"/>
        <w:rPr>
          <w:rFonts w:ascii="Times New Roman" w:eastAsia="楷体_GB2312" w:hAnsi="Times New Roman"/>
          <w:sz w:val="28"/>
          <w:szCs w:val="28"/>
        </w:rPr>
      </w:pPr>
      <w:r>
        <w:rPr>
          <w:rFonts w:ascii="Times New Roman" w:eastAsia="楷体_GB2312" w:hAnsi="Times New Roman"/>
          <w:b/>
          <w:color w:val="333333"/>
          <w:kern w:val="0"/>
          <w:sz w:val="28"/>
          <w:szCs w:val="28"/>
          <w:shd w:val="clear" w:color="auto" w:fill="FFFFFF"/>
        </w:rPr>
        <w:t>（二）项目支出情况</w:t>
      </w:r>
    </w:p>
    <w:p w:rsidR="0057447D" w:rsidRDefault="007A4AFA">
      <w:pPr>
        <w:widowControl/>
        <w:spacing w:line="620" w:lineRule="exact"/>
        <w:ind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1</w:t>
      </w:r>
      <w:r>
        <w:rPr>
          <w:rFonts w:ascii="Times New Roman" w:eastAsia="楷体_GB2312" w:hAnsi="Times New Roman"/>
          <w:color w:val="333333"/>
          <w:kern w:val="0"/>
          <w:sz w:val="28"/>
          <w:szCs w:val="28"/>
          <w:shd w:val="clear" w:color="auto" w:fill="FFFFFF"/>
        </w:rPr>
        <w:t>、项目资金到位及使用情况</w:t>
      </w:r>
    </w:p>
    <w:p w:rsidR="0057447D" w:rsidRDefault="007A4AFA">
      <w:pPr>
        <w:widowControl/>
        <w:spacing w:line="620" w:lineRule="exact"/>
        <w:ind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2020</w:t>
      </w:r>
      <w:r>
        <w:rPr>
          <w:rFonts w:ascii="Times New Roman" w:eastAsia="楷体_GB2312" w:hAnsi="Times New Roman"/>
          <w:color w:val="333333"/>
          <w:kern w:val="0"/>
          <w:sz w:val="28"/>
          <w:szCs w:val="28"/>
          <w:shd w:val="clear" w:color="auto" w:fill="FFFFFF"/>
        </w:rPr>
        <w:t>年本单位年初结转和结余项目资金</w:t>
      </w:r>
      <w:r>
        <w:rPr>
          <w:rFonts w:ascii="Times New Roman" w:eastAsia="楷体_GB2312" w:hAnsi="Times New Roman"/>
          <w:color w:val="333333"/>
          <w:kern w:val="0"/>
          <w:sz w:val="28"/>
          <w:szCs w:val="28"/>
          <w:shd w:val="clear" w:color="auto" w:fill="FFFFFF"/>
        </w:rPr>
        <w:t>1877.15</w:t>
      </w:r>
      <w:r>
        <w:rPr>
          <w:rFonts w:ascii="Times New Roman" w:eastAsia="楷体_GB2312" w:hAnsi="Times New Roman"/>
          <w:kern w:val="0"/>
          <w:sz w:val="28"/>
          <w:szCs w:val="28"/>
          <w:shd w:val="clear" w:color="auto" w:fill="FFFFFF"/>
        </w:rPr>
        <w:t>万</w:t>
      </w:r>
      <w:r>
        <w:rPr>
          <w:rFonts w:ascii="Times New Roman" w:eastAsia="楷体_GB2312" w:hAnsi="Times New Roman"/>
          <w:color w:val="333333"/>
          <w:kern w:val="0"/>
          <w:sz w:val="28"/>
          <w:szCs w:val="28"/>
          <w:shd w:val="clear" w:color="auto" w:fill="FFFFFF"/>
        </w:rPr>
        <w:t>元，</w:t>
      </w:r>
      <w:r>
        <w:rPr>
          <w:rFonts w:ascii="Times New Roman" w:eastAsia="楷体_GB2312" w:hAnsi="Times New Roman"/>
          <w:color w:val="333333"/>
          <w:kern w:val="0"/>
          <w:sz w:val="28"/>
          <w:szCs w:val="28"/>
          <w:shd w:val="clear" w:color="auto" w:fill="FFFFFF"/>
        </w:rPr>
        <w:t>2020</w:t>
      </w:r>
      <w:r>
        <w:rPr>
          <w:rFonts w:ascii="Times New Roman" w:eastAsia="楷体_GB2312" w:hAnsi="Times New Roman"/>
          <w:color w:val="333333"/>
          <w:kern w:val="0"/>
          <w:sz w:val="28"/>
          <w:szCs w:val="28"/>
          <w:shd w:val="clear" w:color="auto" w:fill="FFFFFF"/>
        </w:rPr>
        <w:t>年项目支出年初预算</w:t>
      </w:r>
      <w:r>
        <w:rPr>
          <w:rFonts w:ascii="Times New Roman" w:eastAsia="楷体_GB2312" w:hAnsi="Times New Roman"/>
          <w:color w:val="333333"/>
          <w:kern w:val="0"/>
          <w:sz w:val="28"/>
          <w:szCs w:val="28"/>
          <w:shd w:val="clear" w:color="auto" w:fill="FFFFFF"/>
        </w:rPr>
        <w:t>137</w:t>
      </w:r>
      <w:r>
        <w:rPr>
          <w:rFonts w:ascii="Times New Roman" w:eastAsia="楷体_GB2312" w:hAnsi="Times New Roman"/>
          <w:color w:val="333333"/>
          <w:kern w:val="0"/>
          <w:sz w:val="28"/>
          <w:szCs w:val="28"/>
          <w:shd w:val="clear" w:color="auto" w:fill="FFFFFF"/>
        </w:rPr>
        <w:t>万元，本年实际到位</w:t>
      </w:r>
      <w:r>
        <w:rPr>
          <w:rFonts w:ascii="Times New Roman" w:eastAsia="楷体_GB2312" w:hAnsi="Times New Roman"/>
          <w:color w:val="333333"/>
          <w:kern w:val="0"/>
          <w:sz w:val="28"/>
          <w:szCs w:val="28"/>
          <w:shd w:val="clear" w:color="auto" w:fill="FFFFFF"/>
        </w:rPr>
        <w:t>410.35</w:t>
      </w:r>
      <w:r>
        <w:rPr>
          <w:rFonts w:ascii="Times New Roman" w:eastAsia="楷体_GB2312" w:hAnsi="Times New Roman"/>
          <w:color w:val="333333"/>
          <w:kern w:val="0"/>
          <w:sz w:val="28"/>
          <w:szCs w:val="28"/>
          <w:shd w:val="clear" w:color="auto" w:fill="FFFFFF"/>
        </w:rPr>
        <w:t>万元。本年支出项目资金</w:t>
      </w:r>
      <w:r>
        <w:rPr>
          <w:rFonts w:ascii="Times New Roman" w:eastAsia="楷体_GB2312" w:hAnsi="Times New Roman"/>
          <w:color w:val="333333"/>
          <w:kern w:val="0"/>
          <w:sz w:val="28"/>
          <w:szCs w:val="28"/>
          <w:shd w:val="clear" w:color="auto" w:fill="FFFFFF"/>
        </w:rPr>
        <w:t>1438.58</w:t>
      </w:r>
      <w:r>
        <w:rPr>
          <w:rFonts w:ascii="Times New Roman" w:eastAsia="楷体_GB2312" w:hAnsi="Times New Roman"/>
          <w:color w:val="333333"/>
          <w:kern w:val="0"/>
          <w:sz w:val="28"/>
          <w:szCs w:val="28"/>
          <w:shd w:val="clear" w:color="auto" w:fill="FFFFFF"/>
        </w:rPr>
        <w:t>万元（其中：商品服务支出</w:t>
      </w:r>
      <w:r>
        <w:rPr>
          <w:rFonts w:ascii="Times New Roman" w:eastAsia="楷体_GB2312" w:hAnsi="Times New Roman"/>
          <w:color w:val="333333"/>
          <w:kern w:val="0"/>
          <w:sz w:val="28"/>
          <w:szCs w:val="28"/>
          <w:shd w:val="clear" w:color="auto" w:fill="FFFFFF"/>
        </w:rPr>
        <w:t>139.12</w:t>
      </w:r>
      <w:r>
        <w:rPr>
          <w:rFonts w:ascii="Times New Roman" w:eastAsia="楷体_GB2312" w:hAnsi="Times New Roman"/>
          <w:color w:val="333333"/>
          <w:kern w:val="0"/>
          <w:sz w:val="28"/>
          <w:szCs w:val="28"/>
          <w:shd w:val="clear" w:color="auto" w:fill="FFFFFF"/>
        </w:rPr>
        <w:t>万元、对个人和家庭补助支出</w:t>
      </w:r>
      <w:r>
        <w:rPr>
          <w:rFonts w:ascii="Times New Roman" w:eastAsia="楷体_GB2312" w:hAnsi="Times New Roman"/>
          <w:color w:val="333333"/>
          <w:kern w:val="0"/>
          <w:sz w:val="28"/>
          <w:szCs w:val="28"/>
          <w:shd w:val="clear" w:color="auto" w:fill="FFFFFF"/>
        </w:rPr>
        <w:t>1297.80</w:t>
      </w:r>
      <w:r>
        <w:rPr>
          <w:rFonts w:ascii="Times New Roman" w:eastAsia="楷体_GB2312" w:hAnsi="Times New Roman"/>
          <w:color w:val="333333"/>
          <w:kern w:val="0"/>
          <w:sz w:val="28"/>
          <w:szCs w:val="28"/>
          <w:shd w:val="clear" w:color="auto" w:fill="FFFFFF"/>
        </w:rPr>
        <w:t>万元、资本性支出</w:t>
      </w:r>
      <w:r>
        <w:rPr>
          <w:rFonts w:ascii="Times New Roman" w:eastAsia="楷体_GB2312" w:hAnsi="Times New Roman"/>
          <w:color w:val="333333"/>
          <w:kern w:val="0"/>
          <w:sz w:val="28"/>
          <w:szCs w:val="28"/>
          <w:shd w:val="clear" w:color="auto" w:fill="FFFFFF"/>
        </w:rPr>
        <w:t>1.66</w:t>
      </w:r>
      <w:r>
        <w:rPr>
          <w:rFonts w:ascii="Times New Roman" w:eastAsia="楷体_GB2312" w:hAnsi="Times New Roman"/>
          <w:color w:val="333333"/>
          <w:kern w:val="0"/>
          <w:sz w:val="28"/>
          <w:szCs w:val="28"/>
          <w:shd w:val="clear" w:color="auto" w:fill="FFFFFF"/>
        </w:rPr>
        <w:t>万元），年末结转和结余项目资金</w:t>
      </w:r>
      <w:r>
        <w:rPr>
          <w:rFonts w:ascii="Times New Roman" w:eastAsia="楷体_GB2312" w:hAnsi="Times New Roman"/>
          <w:color w:val="333333"/>
          <w:kern w:val="0"/>
          <w:sz w:val="28"/>
          <w:szCs w:val="28"/>
          <w:shd w:val="clear" w:color="auto" w:fill="FFFFFF"/>
        </w:rPr>
        <w:t>848.92</w:t>
      </w:r>
      <w:r>
        <w:rPr>
          <w:rFonts w:ascii="Times New Roman" w:eastAsia="楷体_GB2312" w:hAnsi="Times New Roman"/>
          <w:color w:val="333333"/>
          <w:kern w:val="0"/>
          <w:sz w:val="28"/>
          <w:szCs w:val="28"/>
          <w:shd w:val="clear" w:color="auto" w:fill="FFFFFF"/>
        </w:rPr>
        <w:t>万元。具体情况如下：</w:t>
      </w:r>
    </w:p>
    <w:p w:rsidR="0057447D" w:rsidRDefault="007A4AFA">
      <w:pPr>
        <w:widowControl/>
        <w:spacing w:line="600" w:lineRule="exact"/>
        <w:ind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lastRenderedPageBreak/>
        <w:t>单位：万元</w:t>
      </w:r>
    </w:p>
    <w:tbl>
      <w:tblPr>
        <w:tblW w:w="9598" w:type="dxa"/>
        <w:tblInd w:w="-465" w:type="dxa"/>
        <w:tblCellMar>
          <w:left w:w="0" w:type="dxa"/>
          <w:right w:w="0" w:type="dxa"/>
        </w:tblCellMar>
        <w:tblLook w:val="04A0"/>
      </w:tblPr>
      <w:tblGrid>
        <w:gridCol w:w="3386"/>
        <w:gridCol w:w="1553"/>
        <w:gridCol w:w="1553"/>
        <w:gridCol w:w="1553"/>
        <w:gridCol w:w="1553"/>
      </w:tblGrid>
      <w:tr w:rsidR="0057447D">
        <w:trPr>
          <w:trHeight w:val="912"/>
        </w:trPr>
        <w:tc>
          <w:tcPr>
            <w:tcW w:w="33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jc w:val="center"/>
              <w:textAlignment w:val="center"/>
              <w:rPr>
                <w:rFonts w:ascii="Times New Roman" w:eastAsia="楷体" w:hAnsi="Times New Roman"/>
                <w:color w:val="000000"/>
                <w:sz w:val="24"/>
              </w:rPr>
            </w:pPr>
            <w:r>
              <w:rPr>
                <w:rFonts w:ascii="Times New Roman" w:eastAsia="楷体" w:hAnsi="Times New Roman"/>
                <w:color w:val="000000"/>
                <w:kern w:val="0"/>
                <w:sz w:val="24"/>
              </w:rPr>
              <w:t>项目</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jc w:val="center"/>
              <w:textAlignment w:val="center"/>
              <w:rPr>
                <w:rFonts w:ascii="Times New Roman" w:eastAsia="楷体" w:hAnsi="Times New Roman"/>
                <w:color w:val="000000"/>
                <w:sz w:val="24"/>
              </w:rPr>
            </w:pPr>
            <w:r>
              <w:rPr>
                <w:rFonts w:ascii="Times New Roman" w:eastAsia="楷体" w:hAnsi="Times New Roman"/>
                <w:color w:val="000000"/>
                <w:kern w:val="0"/>
                <w:sz w:val="24"/>
              </w:rPr>
              <w:t>年初结转和结余金额</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jc w:val="center"/>
              <w:textAlignment w:val="center"/>
              <w:rPr>
                <w:rFonts w:ascii="Times New Roman" w:eastAsia="楷体" w:hAnsi="Times New Roman"/>
                <w:color w:val="000000"/>
                <w:sz w:val="24"/>
              </w:rPr>
            </w:pPr>
            <w:r>
              <w:rPr>
                <w:rFonts w:ascii="Times New Roman" w:eastAsia="楷体" w:hAnsi="Times New Roman"/>
                <w:color w:val="000000"/>
                <w:kern w:val="0"/>
                <w:sz w:val="24"/>
              </w:rPr>
              <w:t>本年资金到位金额</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jc w:val="center"/>
              <w:textAlignment w:val="center"/>
              <w:rPr>
                <w:rFonts w:ascii="Times New Roman" w:eastAsia="楷体" w:hAnsi="Times New Roman"/>
                <w:color w:val="000000"/>
                <w:sz w:val="24"/>
              </w:rPr>
            </w:pPr>
            <w:r>
              <w:rPr>
                <w:rFonts w:ascii="Times New Roman" w:eastAsia="楷体" w:hAnsi="Times New Roman"/>
                <w:color w:val="000000"/>
                <w:kern w:val="0"/>
                <w:sz w:val="24"/>
              </w:rPr>
              <w:t>本年资金支出金额</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jc w:val="center"/>
              <w:textAlignment w:val="center"/>
              <w:rPr>
                <w:rFonts w:ascii="Times New Roman" w:eastAsia="楷体" w:hAnsi="Times New Roman"/>
                <w:color w:val="000000"/>
                <w:sz w:val="24"/>
              </w:rPr>
            </w:pPr>
            <w:r>
              <w:rPr>
                <w:rFonts w:ascii="Times New Roman" w:eastAsia="楷体" w:hAnsi="Times New Roman"/>
                <w:color w:val="000000"/>
                <w:kern w:val="0"/>
                <w:sz w:val="24"/>
              </w:rPr>
              <w:t>年末结转结余金额</w:t>
            </w:r>
          </w:p>
        </w:tc>
      </w:tr>
      <w:tr w:rsidR="0057447D">
        <w:trPr>
          <w:trHeight w:hRule="exact" w:val="442"/>
        </w:trPr>
        <w:tc>
          <w:tcPr>
            <w:tcW w:w="33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州直公务员医疗补助</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355.12</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171</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438.78</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87.34</w:t>
            </w:r>
          </w:p>
        </w:tc>
      </w:tr>
      <w:tr w:rsidR="0057447D">
        <w:trPr>
          <w:trHeight w:hRule="exact" w:val="442"/>
        </w:trPr>
        <w:tc>
          <w:tcPr>
            <w:tcW w:w="33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spacing w:val="-11"/>
                <w:kern w:val="0"/>
                <w:sz w:val="24"/>
              </w:rPr>
              <w:t>州直离休人员医疗保障基金</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1,519.71</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82.65</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859.01</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743.35</w:t>
            </w:r>
          </w:p>
        </w:tc>
      </w:tr>
      <w:tr w:rsidR="0057447D">
        <w:trPr>
          <w:trHeight w:hRule="exact" w:val="442"/>
        </w:trPr>
        <w:tc>
          <w:tcPr>
            <w:tcW w:w="33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医疗保障工作经费</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2.32</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20</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22.32</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57447D">
            <w:pPr>
              <w:widowControl/>
              <w:spacing w:line="360" w:lineRule="exact"/>
              <w:jc w:val="center"/>
              <w:textAlignment w:val="center"/>
              <w:rPr>
                <w:rFonts w:ascii="Times New Roman" w:eastAsia="楷体" w:hAnsi="Times New Roman"/>
                <w:color w:val="000000"/>
                <w:sz w:val="24"/>
              </w:rPr>
            </w:pPr>
          </w:p>
        </w:tc>
      </w:tr>
      <w:tr w:rsidR="0057447D">
        <w:trPr>
          <w:trHeight w:hRule="exact" w:val="442"/>
        </w:trPr>
        <w:tc>
          <w:tcPr>
            <w:tcW w:w="33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综合目标管理经费</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57447D">
            <w:pPr>
              <w:widowControl/>
              <w:spacing w:line="360" w:lineRule="exact"/>
              <w:jc w:val="center"/>
              <w:rPr>
                <w:rFonts w:ascii="Times New Roman" w:eastAsia="楷体" w:hAnsi="Times New Roman"/>
                <w:color w:val="000000"/>
                <w:sz w:val="24"/>
              </w:rPr>
            </w:pP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10</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10</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57447D">
            <w:pPr>
              <w:widowControl/>
              <w:spacing w:line="360" w:lineRule="exact"/>
              <w:jc w:val="center"/>
              <w:textAlignment w:val="center"/>
              <w:rPr>
                <w:rFonts w:ascii="Times New Roman" w:eastAsia="楷体" w:hAnsi="Times New Roman"/>
                <w:color w:val="000000"/>
                <w:sz w:val="24"/>
              </w:rPr>
            </w:pPr>
          </w:p>
        </w:tc>
      </w:tr>
      <w:tr w:rsidR="0057447D">
        <w:trPr>
          <w:trHeight w:hRule="exact" w:val="442"/>
        </w:trPr>
        <w:tc>
          <w:tcPr>
            <w:tcW w:w="33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w:t>
            </w:r>
            <w:r>
              <w:rPr>
                <w:rFonts w:ascii="Times New Roman" w:eastAsia="楷体" w:hAnsi="Times New Roman"/>
                <w:color w:val="000000"/>
                <w:kern w:val="0"/>
                <w:sz w:val="24"/>
              </w:rPr>
              <w:t>十四五</w:t>
            </w:r>
            <w:r>
              <w:rPr>
                <w:rFonts w:ascii="Times New Roman" w:eastAsia="楷体" w:hAnsi="Times New Roman"/>
                <w:color w:val="000000"/>
                <w:kern w:val="0"/>
                <w:sz w:val="24"/>
              </w:rPr>
              <w:t>”</w:t>
            </w:r>
            <w:r>
              <w:rPr>
                <w:rFonts w:ascii="Times New Roman" w:eastAsia="楷体" w:hAnsi="Times New Roman"/>
                <w:color w:val="000000"/>
                <w:kern w:val="0"/>
                <w:sz w:val="24"/>
              </w:rPr>
              <w:t>发展与改革规划经费</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57447D">
            <w:pPr>
              <w:widowControl/>
              <w:spacing w:line="360" w:lineRule="exact"/>
              <w:jc w:val="center"/>
              <w:rPr>
                <w:rFonts w:ascii="Times New Roman" w:eastAsia="楷体" w:hAnsi="Times New Roman"/>
                <w:color w:val="000000"/>
                <w:sz w:val="24"/>
              </w:rPr>
            </w:pP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25</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7.11</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17.89</w:t>
            </w:r>
          </w:p>
        </w:tc>
      </w:tr>
      <w:tr w:rsidR="0057447D">
        <w:trPr>
          <w:trHeight w:hRule="exact" w:val="442"/>
        </w:trPr>
        <w:tc>
          <w:tcPr>
            <w:tcW w:w="33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医保待遇发放运转经费</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57447D">
            <w:pPr>
              <w:widowControl/>
              <w:spacing w:line="360" w:lineRule="exact"/>
              <w:jc w:val="center"/>
              <w:rPr>
                <w:rFonts w:ascii="Times New Roman" w:eastAsia="楷体" w:hAnsi="Times New Roman"/>
                <w:color w:val="000000"/>
                <w:sz w:val="24"/>
              </w:rPr>
            </w:pP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71.7</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71.7</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57447D">
            <w:pPr>
              <w:widowControl/>
              <w:spacing w:line="360" w:lineRule="exact"/>
              <w:jc w:val="center"/>
              <w:textAlignment w:val="center"/>
              <w:rPr>
                <w:rFonts w:ascii="Times New Roman" w:eastAsia="楷体" w:hAnsi="Times New Roman"/>
                <w:color w:val="000000"/>
                <w:sz w:val="24"/>
              </w:rPr>
            </w:pPr>
          </w:p>
        </w:tc>
      </w:tr>
      <w:tr w:rsidR="0057447D">
        <w:trPr>
          <w:trHeight w:hRule="exact" w:val="442"/>
        </w:trPr>
        <w:tc>
          <w:tcPr>
            <w:tcW w:w="33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能力提升经费</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57447D" w:rsidRDefault="0057447D">
            <w:pPr>
              <w:widowControl/>
              <w:spacing w:line="360" w:lineRule="exact"/>
              <w:jc w:val="center"/>
              <w:rPr>
                <w:rFonts w:ascii="Times New Roman" w:eastAsia="楷体" w:hAnsi="Times New Roman"/>
                <w:color w:val="000000"/>
                <w:sz w:val="24"/>
              </w:rPr>
            </w:pP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30</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29.66</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color w:val="000000"/>
                <w:sz w:val="24"/>
              </w:rPr>
            </w:pPr>
            <w:r>
              <w:rPr>
                <w:rFonts w:ascii="Times New Roman" w:eastAsia="楷体" w:hAnsi="Times New Roman"/>
                <w:color w:val="000000"/>
                <w:kern w:val="0"/>
                <w:sz w:val="24"/>
              </w:rPr>
              <w:t>0.34</w:t>
            </w:r>
          </w:p>
        </w:tc>
      </w:tr>
      <w:tr w:rsidR="0057447D">
        <w:trPr>
          <w:trHeight w:hRule="exact" w:val="474"/>
        </w:trPr>
        <w:tc>
          <w:tcPr>
            <w:tcW w:w="33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b/>
                <w:bCs/>
                <w:color w:val="000000"/>
                <w:sz w:val="24"/>
              </w:rPr>
            </w:pPr>
            <w:r>
              <w:rPr>
                <w:rFonts w:ascii="Times New Roman" w:eastAsia="楷体" w:hAnsi="Times New Roman"/>
                <w:b/>
                <w:bCs/>
                <w:color w:val="000000"/>
                <w:kern w:val="0"/>
                <w:sz w:val="24"/>
              </w:rPr>
              <w:t>合计</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b/>
                <w:bCs/>
                <w:color w:val="000000"/>
                <w:sz w:val="24"/>
              </w:rPr>
            </w:pPr>
            <w:r>
              <w:rPr>
                <w:rFonts w:ascii="Times New Roman" w:eastAsia="楷体" w:hAnsi="Times New Roman"/>
                <w:b/>
                <w:bCs/>
                <w:color w:val="000000"/>
                <w:kern w:val="0"/>
                <w:sz w:val="24"/>
              </w:rPr>
              <w:t xml:space="preserve">1,877.15 </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b/>
                <w:bCs/>
                <w:color w:val="000000"/>
                <w:sz w:val="24"/>
              </w:rPr>
            </w:pPr>
            <w:r>
              <w:rPr>
                <w:rFonts w:ascii="Times New Roman" w:eastAsia="楷体" w:hAnsi="Times New Roman"/>
                <w:b/>
                <w:bCs/>
                <w:color w:val="000000"/>
                <w:kern w:val="0"/>
                <w:sz w:val="24"/>
              </w:rPr>
              <w:t xml:space="preserve">410.35 </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b/>
                <w:bCs/>
                <w:color w:val="000000"/>
                <w:sz w:val="24"/>
              </w:rPr>
            </w:pPr>
            <w:r>
              <w:rPr>
                <w:rFonts w:ascii="Times New Roman" w:eastAsia="楷体" w:hAnsi="Times New Roman"/>
                <w:b/>
                <w:bCs/>
                <w:color w:val="000000"/>
                <w:kern w:val="0"/>
                <w:sz w:val="24"/>
              </w:rPr>
              <w:t xml:space="preserve">1,438.58 </w:t>
            </w:r>
          </w:p>
        </w:tc>
        <w:tc>
          <w:tcPr>
            <w:tcW w:w="155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7447D" w:rsidRDefault="007A4AFA">
            <w:pPr>
              <w:widowControl/>
              <w:spacing w:line="360" w:lineRule="exact"/>
              <w:jc w:val="center"/>
              <w:textAlignment w:val="center"/>
              <w:rPr>
                <w:rFonts w:ascii="Times New Roman" w:eastAsia="楷体" w:hAnsi="Times New Roman"/>
                <w:b/>
                <w:bCs/>
                <w:color w:val="000000"/>
                <w:sz w:val="24"/>
              </w:rPr>
            </w:pPr>
            <w:r>
              <w:rPr>
                <w:rFonts w:ascii="Times New Roman" w:eastAsia="楷体" w:hAnsi="Times New Roman"/>
                <w:b/>
                <w:bCs/>
                <w:color w:val="000000"/>
                <w:kern w:val="0"/>
                <w:sz w:val="24"/>
              </w:rPr>
              <w:t xml:space="preserve">848.92 </w:t>
            </w:r>
          </w:p>
        </w:tc>
      </w:tr>
    </w:tbl>
    <w:p w:rsidR="0057447D" w:rsidRDefault="007A4AFA" w:rsidP="00D80294">
      <w:pPr>
        <w:widowControl/>
        <w:spacing w:line="616" w:lineRule="exact"/>
        <w:ind w:firstLineChars="200" w:firstLine="560"/>
        <w:rPr>
          <w:rFonts w:ascii="Times New Roman" w:eastAsia="楷体_GB2312" w:hAnsi="Times New Roman" w:cs="Times New Roman"/>
          <w:b/>
          <w:color w:val="333333"/>
          <w:kern w:val="0"/>
          <w:sz w:val="28"/>
          <w:szCs w:val="28"/>
          <w:shd w:val="clear" w:color="auto" w:fill="FFFFFF"/>
        </w:rPr>
      </w:pPr>
      <w:r>
        <w:rPr>
          <w:rFonts w:ascii="Times New Roman" w:eastAsia="楷体_GB2312" w:hAnsi="Times New Roman" w:cs="Times New Roman"/>
          <w:b/>
          <w:color w:val="333333"/>
          <w:kern w:val="0"/>
          <w:sz w:val="28"/>
          <w:szCs w:val="28"/>
          <w:shd w:val="clear" w:color="auto" w:fill="FFFFFF"/>
        </w:rPr>
        <w:t>三、政府性基金预算支出情况</w:t>
      </w:r>
    </w:p>
    <w:p w:rsidR="0057447D" w:rsidRDefault="007A4AFA">
      <w:pPr>
        <w:widowControl/>
        <w:spacing w:line="616" w:lineRule="exact"/>
        <w:ind w:firstLine="562"/>
        <w:rPr>
          <w:rFonts w:ascii="Times New Roman" w:eastAsia="楷体_GB2312" w:hAnsi="Times New Roman" w:cs="Times New Roman"/>
          <w:bCs/>
          <w:color w:val="333333"/>
          <w:kern w:val="0"/>
          <w:sz w:val="28"/>
          <w:szCs w:val="28"/>
          <w:shd w:val="clear" w:color="auto" w:fill="FFFFFF"/>
        </w:rPr>
      </w:pPr>
      <w:r>
        <w:rPr>
          <w:rFonts w:ascii="Times New Roman" w:eastAsia="楷体_GB2312" w:hAnsi="Times New Roman" w:cs="Times New Roman"/>
          <w:bCs/>
          <w:color w:val="333333"/>
          <w:kern w:val="0"/>
          <w:sz w:val="28"/>
          <w:szCs w:val="28"/>
          <w:shd w:val="clear" w:color="auto" w:fill="FFFFFF"/>
        </w:rPr>
        <w:t>本单位政府性基金</w:t>
      </w:r>
      <w:r>
        <w:rPr>
          <w:rFonts w:ascii="Times New Roman" w:eastAsia="楷体_GB2312" w:hAnsi="Times New Roman" w:cs="Times New Roman"/>
          <w:bCs/>
          <w:color w:val="333333"/>
          <w:kern w:val="0"/>
          <w:sz w:val="28"/>
          <w:szCs w:val="28"/>
          <w:shd w:val="clear" w:color="auto" w:fill="FFFFFF"/>
        </w:rPr>
        <w:t>2020</w:t>
      </w:r>
      <w:r>
        <w:rPr>
          <w:rFonts w:ascii="Times New Roman" w:eastAsia="楷体_GB2312" w:hAnsi="Times New Roman" w:cs="Times New Roman"/>
          <w:bCs/>
          <w:color w:val="333333"/>
          <w:kern w:val="0"/>
          <w:sz w:val="28"/>
          <w:szCs w:val="28"/>
          <w:shd w:val="clear" w:color="auto" w:fill="FFFFFF"/>
        </w:rPr>
        <w:t>年初预算</w:t>
      </w:r>
      <w:r>
        <w:rPr>
          <w:rFonts w:ascii="Times New Roman" w:eastAsia="楷体_GB2312" w:hAnsi="Times New Roman" w:cs="Times New Roman"/>
          <w:bCs/>
          <w:color w:val="333333"/>
          <w:kern w:val="0"/>
          <w:sz w:val="28"/>
          <w:szCs w:val="28"/>
          <w:shd w:val="clear" w:color="auto" w:fill="FFFFFF"/>
        </w:rPr>
        <w:t>0</w:t>
      </w:r>
      <w:r>
        <w:rPr>
          <w:rFonts w:ascii="Times New Roman" w:eastAsia="楷体_GB2312" w:hAnsi="Times New Roman" w:cs="Times New Roman"/>
          <w:bCs/>
          <w:color w:val="333333"/>
          <w:kern w:val="0"/>
          <w:sz w:val="28"/>
          <w:szCs w:val="28"/>
          <w:shd w:val="clear" w:color="auto" w:fill="FFFFFF"/>
        </w:rPr>
        <w:t>，本年追加预算</w:t>
      </w:r>
      <w:r>
        <w:rPr>
          <w:rFonts w:ascii="Times New Roman" w:eastAsia="楷体_GB2312" w:hAnsi="Times New Roman" w:cs="Times New Roman"/>
          <w:bCs/>
          <w:color w:val="333333"/>
          <w:kern w:val="0"/>
          <w:sz w:val="28"/>
          <w:szCs w:val="28"/>
          <w:shd w:val="clear" w:color="auto" w:fill="FFFFFF"/>
        </w:rPr>
        <w:t>10</w:t>
      </w:r>
      <w:r>
        <w:rPr>
          <w:rFonts w:ascii="Times New Roman" w:eastAsia="楷体_GB2312" w:hAnsi="Times New Roman" w:cs="Times New Roman"/>
          <w:bCs/>
          <w:color w:val="333333"/>
          <w:kern w:val="0"/>
          <w:sz w:val="28"/>
          <w:szCs w:val="28"/>
          <w:shd w:val="clear" w:color="auto" w:fill="FFFFFF"/>
        </w:rPr>
        <w:t>万元，实际到位</w:t>
      </w:r>
      <w:r>
        <w:rPr>
          <w:rFonts w:ascii="Times New Roman" w:eastAsia="楷体_GB2312" w:hAnsi="Times New Roman" w:cs="Times New Roman"/>
          <w:bCs/>
          <w:color w:val="333333"/>
          <w:kern w:val="0"/>
          <w:sz w:val="28"/>
          <w:szCs w:val="28"/>
          <w:shd w:val="clear" w:color="auto" w:fill="FFFFFF"/>
        </w:rPr>
        <w:t>10</w:t>
      </w:r>
      <w:r>
        <w:rPr>
          <w:rFonts w:ascii="Times New Roman" w:eastAsia="楷体_GB2312" w:hAnsi="Times New Roman" w:cs="Times New Roman"/>
          <w:bCs/>
          <w:color w:val="333333"/>
          <w:kern w:val="0"/>
          <w:sz w:val="28"/>
          <w:szCs w:val="28"/>
          <w:shd w:val="clear" w:color="auto" w:fill="FFFFFF"/>
        </w:rPr>
        <w:t>万元，为疫情防控工作经费。本年已全部支出，其中购置办公设备</w:t>
      </w:r>
      <w:r>
        <w:rPr>
          <w:rFonts w:ascii="Times New Roman" w:eastAsia="楷体_GB2312" w:hAnsi="Times New Roman" w:cs="Times New Roman"/>
          <w:bCs/>
          <w:color w:val="333333"/>
          <w:kern w:val="0"/>
          <w:sz w:val="28"/>
          <w:szCs w:val="28"/>
          <w:shd w:val="clear" w:color="auto" w:fill="FFFFFF"/>
        </w:rPr>
        <w:t>2.91</w:t>
      </w:r>
      <w:r>
        <w:rPr>
          <w:rFonts w:ascii="Times New Roman" w:eastAsia="楷体_GB2312" w:hAnsi="Times New Roman" w:cs="Times New Roman"/>
          <w:bCs/>
          <w:color w:val="333333"/>
          <w:kern w:val="0"/>
          <w:sz w:val="28"/>
          <w:szCs w:val="28"/>
          <w:shd w:val="clear" w:color="auto" w:fill="FFFFFF"/>
        </w:rPr>
        <w:t>万元、办公费</w:t>
      </w:r>
      <w:r>
        <w:rPr>
          <w:rFonts w:ascii="Times New Roman" w:eastAsia="楷体_GB2312" w:hAnsi="Times New Roman" w:cs="Times New Roman"/>
          <w:bCs/>
          <w:color w:val="333333"/>
          <w:kern w:val="0"/>
          <w:sz w:val="28"/>
          <w:szCs w:val="28"/>
          <w:shd w:val="clear" w:color="auto" w:fill="FFFFFF"/>
        </w:rPr>
        <w:t>6.30</w:t>
      </w:r>
      <w:r>
        <w:rPr>
          <w:rFonts w:ascii="Times New Roman" w:eastAsia="楷体_GB2312" w:hAnsi="Times New Roman" w:cs="Times New Roman"/>
          <w:bCs/>
          <w:color w:val="333333"/>
          <w:kern w:val="0"/>
          <w:sz w:val="28"/>
          <w:szCs w:val="28"/>
          <w:shd w:val="clear" w:color="auto" w:fill="FFFFFF"/>
        </w:rPr>
        <w:t>万元、邮电费</w:t>
      </w:r>
      <w:r>
        <w:rPr>
          <w:rFonts w:ascii="Times New Roman" w:eastAsia="楷体_GB2312" w:hAnsi="Times New Roman" w:cs="Times New Roman"/>
          <w:bCs/>
          <w:color w:val="333333"/>
          <w:kern w:val="0"/>
          <w:sz w:val="28"/>
          <w:szCs w:val="28"/>
          <w:shd w:val="clear" w:color="auto" w:fill="FFFFFF"/>
        </w:rPr>
        <w:t>0.65</w:t>
      </w:r>
      <w:r>
        <w:rPr>
          <w:rFonts w:ascii="Times New Roman" w:eastAsia="楷体_GB2312" w:hAnsi="Times New Roman" w:cs="Times New Roman"/>
          <w:bCs/>
          <w:color w:val="333333"/>
          <w:kern w:val="0"/>
          <w:sz w:val="28"/>
          <w:szCs w:val="28"/>
          <w:shd w:val="clear" w:color="auto" w:fill="FFFFFF"/>
        </w:rPr>
        <w:t>万元、其他商品和服务支出</w:t>
      </w:r>
      <w:r>
        <w:rPr>
          <w:rFonts w:ascii="Times New Roman" w:eastAsia="楷体_GB2312" w:hAnsi="Times New Roman" w:cs="Times New Roman"/>
          <w:bCs/>
          <w:color w:val="333333"/>
          <w:kern w:val="0"/>
          <w:sz w:val="28"/>
          <w:szCs w:val="28"/>
          <w:shd w:val="clear" w:color="auto" w:fill="FFFFFF"/>
        </w:rPr>
        <w:t>0.14</w:t>
      </w:r>
      <w:r>
        <w:rPr>
          <w:rFonts w:ascii="Times New Roman" w:eastAsia="楷体_GB2312" w:hAnsi="Times New Roman" w:cs="Times New Roman"/>
          <w:bCs/>
          <w:color w:val="333333"/>
          <w:kern w:val="0"/>
          <w:sz w:val="28"/>
          <w:szCs w:val="28"/>
          <w:shd w:val="clear" w:color="auto" w:fill="FFFFFF"/>
        </w:rPr>
        <w:t>万元。</w:t>
      </w:r>
    </w:p>
    <w:p w:rsidR="0057447D" w:rsidRDefault="007A4AFA">
      <w:pPr>
        <w:widowControl/>
        <w:numPr>
          <w:ilvl w:val="0"/>
          <w:numId w:val="6"/>
        </w:numPr>
        <w:spacing w:line="616" w:lineRule="exact"/>
        <w:ind w:firstLine="562"/>
        <w:rPr>
          <w:rFonts w:ascii="Times New Roman" w:eastAsia="楷体_GB2312" w:hAnsi="Times New Roman" w:cs="Times New Roman"/>
          <w:b/>
          <w:color w:val="333333"/>
          <w:kern w:val="0"/>
          <w:sz w:val="28"/>
          <w:szCs w:val="28"/>
          <w:shd w:val="clear" w:color="auto" w:fill="FFFFFF"/>
        </w:rPr>
      </w:pPr>
      <w:r>
        <w:rPr>
          <w:rFonts w:ascii="Times New Roman" w:eastAsia="楷体_GB2312" w:hAnsi="Times New Roman" w:cs="Times New Roman"/>
          <w:b/>
          <w:color w:val="333333"/>
          <w:kern w:val="0"/>
          <w:sz w:val="28"/>
          <w:szCs w:val="28"/>
          <w:shd w:val="clear" w:color="auto" w:fill="FFFFFF"/>
        </w:rPr>
        <w:t>国有资本经营预算支出情况</w:t>
      </w:r>
    </w:p>
    <w:p w:rsidR="0057447D" w:rsidRDefault="007A4AFA">
      <w:pPr>
        <w:widowControl/>
        <w:spacing w:line="616" w:lineRule="exact"/>
        <w:ind w:left="562"/>
        <w:rPr>
          <w:rFonts w:ascii="Times New Roman" w:eastAsia="楷体_GB2312" w:hAnsi="Times New Roman" w:cs="Times New Roman"/>
          <w:bCs/>
          <w:color w:val="333333"/>
          <w:kern w:val="0"/>
          <w:sz w:val="28"/>
          <w:szCs w:val="28"/>
          <w:shd w:val="clear" w:color="auto" w:fill="FFFFFF"/>
        </w:rPr>
      </w:pPr>
      <w:r>
        <w:rPr>
          <w:rFonts w:ascii="Times New Roman" w:eastAsia="楷体_GB2312" w:hAnsi="Times New Roman" w:cs="Times New Roman"/>
          <w:bCs/>
          <w:color w:val="333333"/>
          <w:kern w:val="0"/>
          <w:sz w:val="28"/>
          <w:szCs w:val="28"/>
          <w:shd w:val="clear" w:color="auto" w:fill="FFFFFF"/>
        </w:rPr>
        <w:t>2020</w:t>
      </w:r>
      <w:r>
        <w:rPr>
          <w:rFonts w:ascii="Times New Roman" w:eastAsia="楷体_GB2312" w:hAnsi="Times New Roman" w:cs="Times New Roman"/>
          <w:bCs/>
          <w:color w:val="333333"/>
          <w:kern w:val="0"/>
          <w:sz w:val="28"/>
          <w:szCs w:val="28"/>
          <w:shd w:val="clear" w:color="auto" w:fill="FFFFFF"/>
        </w:rPr>
        <w:t>年本单位无国有资本经营预算支出。</w:t>
      </w:r>
    </w:p>
    <w:p w:rsidR="0057447D" w:rsidRDefault="007A4AFA">
      <w:pPr>
        <w:widowControl/>
        <w:numPr>
          <w:ilvl w:val="0"/>
          <w:numId w:val="6"/>
        </w:numPr>
        <w:spacing w:line="616" w:lineRule="exact"/>
        <w:ind w:firstLine="562"/>
        <w:rPr>
          <w:rFonts w:ascii="Times New Roman" w:eastAsia="楷体_GB2312" w:hAnsi="Times New Roman" w:cs="Times New Roman"/>
          <w:b/>
          <w:color w:val="333333"/>
          <w:kern w:val="0"/>
          <w:sz w:val="28"/>
          <w:szCs w:val="28"/>
          <w:shd w:val="clear" w:color="auto" w:fill="FFFFFF"/>
        </w:rPr>
      </w:pPr>
      <w:r>
        <w:rPr>
          <w:rFonts w:ascii="Times New Roman" w:eastAsia="楷体_GB2312" w:hAnsi="Times New Roman" w:cs="Times New Roman"/>
          <w:b/>
          <w:color w:val="333333"/>
          <w:kern w:val="0"/>
          <w:sz w:val="28"/>
          <w:szCs w:val="28"/>
          <w:shd w:val="clear" w:color="auto" w:fill="FFFFFF"/>
        </w:rPr>
        <w:t>社会保险基金预算支出情况</w:t>
      </w:r>
    </w:p>
    <w:p w:rsidR="0057447D" w:rsidRDefault="007A4AFA">
      <w:pPr>
        <w:widowControl/>
        <w:spacing w:line="616" w:lineRule="exact"/>
        <w:ind w:firstLine="562"/>
        <w:rPr>
          <w:rFonts w:ascii="Times New Roman" w:eastAsia="楷体_GB2312" w:hAnsi="Times New Roman" w:cs="Times New Roman"/>
          <w:bCs/>
          <w:kern w:val="0"/>
          <w:sz w:val="28"/>
          <w:szCs w:val="28"/>
          <w:shd w:val="clear" w:color="auto" w:fill="FFFFFF"/>
        </w:rPr>
      </w:pPr>
      <w:r>
        <w:rPr>
          <w:rFonts w:ascii="Times New Roman" w:eastAsia="楷体_GB2312" w:hAnsi="Times New Roman" w:cs="Times New Roman"/>
          <w:bCs/>
          <w:kern w:val="0"/>
          <w:sz w:val="28"/>
          <w:szCs w:val="28"/>
          <w:shd w:val="clear" w:color="auto" w:fill="FFFFFF"/>
        </w:rPr>
        <w:t>2020</w:t>
      </w:r>
      <w:r>
        <w:rPr>
          <w:rFonts w:ascii="Times New Roman" w:eastAsia="楷体_GB2312" w:hAnsi="Times New Roman" w:cs="Times New Roman"/>
          <w:bCs/>
          <w:kern w:val="0"/>
          <w:sz w:val="28"/>
          <w:szCs w:val="28"/>
          <w:shd w:val="clear" w:color="auto" w:fill="FFFFFF"/>
        </w:rPr>
        <w:t>年度州本级医疗保险参保人数</w:t>
      </w:r>
      <w:r>
        <w:rPr>
          <w:rFonts w:ascii="Times New Roman" w:eastAsia="楷体_GB2312" w:hAnsi="Times New Roman" w:cs="Times New Roman"/>
          <w:bCs/>
          <w:kern w:val="0"/>
          <w:sz w:val="28"/>
          <w:szCs w:val="28"/>
          <w:shd w:val="clear" w:color="auto" w:fill="FFFFFF"/>
        </w:rPr>
        <w:t>47144</w:t>
      </w:r>
      <w:r>
        <w:rPr>
          <w:rFonts w:ascii="Times New Roman" w:eastAsia="楷体_GB2312" w:hAnsi="Times New Roman" w:cs="Times New Roman"/>
          <w:bCs/>
          <w:kern w:val="0"/>
          <w:sz w:val="28"/>
          <w:szCs w:val="28"/>
          <w:shd w:val="clear" w:color="auto" w:fill="FFFFFF"/>
        </w:rPr>
        <w:t>人，同比</w:t>
      </w:r>
      <w:r>
        <w:rPr>
          <w:rFonts w:ascii="Times New Roman" w:eastAsia="楷体_GB2312" w:hAnsi="Times New Roman" w:cs="Times New Roman"/>
          <w:bCs/>
          <w:kern w:val="0"/>
          <w:sz w:val="28"/>
          <w:szCs w:val="28"/>
          <w:shd w:val="clear" w:color="auto" w:fill="FFFFFF"/>
        </w:rPr>
        <w:t>2019</w:t>
      </w:r>
      <w:r>
        <w:rPr>
          <w:rFonts w:ascii="Times New Roman" w:eastAsia="楷体_GB2312" w:hAnsi="Times New Roman" w:cs="Times New Roman"/>
          <w:bCs/>
          <w:kern w:val="0"/>
          <w:sz w:val="28"/>
          <w:szCs w:val="28"/>
          <w:shd w:val="clear" w:color="auto" w:fill="FFFFFF"/>
        </w:rPr>
        <w:t>年参保人数</w:t>
      </w:r>
      <w:r>
        <w:rPr>
          <w:rFonts w:ascii="Times New Roman" w:eastAsia="楷体_GB2312" w:hAnsi="Times New Roman" w:cs="Times New Roman"/>
          <w:bCs/>
          <w:kern w:val="0"/>
          <w:sz w:val="28"/>
          <w:szCs w:val="28"/>
          <w:shd w:val="clear" w:color="auto" w:fill="FFFFFF"/>
        </w:rPr>
        <w:t>44860</w:t>
      </w:r>
      <w:r>
        <w:rPr>
          <w:rFonts w:ascii="Times New Roman" w:eastAsia="楷体_GB2312" w:hAnsi="Times New Roman" w:cs="Times New Roman"/>
          <w:bCs/>
          <w:kern w:val="0"/>
          <w:sz w:val="28"/>
          <w:szCs w:val="28"/>
          <w:shd w:val="clear" w:color="auto" w:fill="FFFFFF"/>
        </w:rPr>
        <w:t>人，增加</w:t>
      </w:r>
      <w:r>
        <w:rPr>
          <w:rFonts w:ascii="Times New Roman" w:eastAsia="楷体_GB2312" w:hAnsi="Times New Roman" w:cs="Times New Roman"/>
          <w:bCs/>
          <w:kern w:val="0"/>
          <w:sz w:val="28"/>
          <w:szCs w:val="28"/>
          <w:shd w:val="clear" w:color="auto" w:fill="FFFFFF"/>
        </w:rPr>
        <w:t>5.09%</w:t>
      </w:r>
      <w:r>
        <w:rPr>
          <w:rFonts w:ascii="Times New Roman" w:eastAsia="楷体_GB2312" w:hAnsi="Times New Roman" w:cs="Times New Roman"/>
          <w:bCs/>
          <w:kern w:val="0"/>
          <w:sz w:val="28"/>
          <w:szCs w:val="28"/>
          <w:shd w:val="clear" w:color="auto" w:fill="FFFFFF"/>
        </w:rPr>
        <w:t>。</w:t>
      </w:r>
    </w:p>
    <w:p w:rsidR="0057447D" w:rsidRDefault="007A4AFA">
      <w:pPr>
        <w:widowControl/>
        <w:spacing w:line="616" w:lineRule="exact"/>
        <w:ind w:firstLine="562"/>
        <w:rPr>
          <w:rFonts w:ascii="Times New Roman" w:eastAsia="楷体_GB2312" w:hAnsi="Times New Roman" w:cs="Times New Roman"/>
          <w:bCs/>
          <w:spacing w:val="-6"/>
          <w:kern w:val="0"/>
          <w:sz w:val="28"/>
          <w:szCs w:val="28"/>
          <w:shd w:val="clear" w:color="auto" w:fill="FFFFFF"/>
        </w:rPr>
      </w:pPr>
      <w:r>
        <w:rPr>
          <w:rFonts w:ascii="Times New Roman" w:eastAsia="楷体_GB2312" w:hAnsi="Times New Roman" w:cs="Times New Roman"/>
          <w:bCs/>
          <w:spacing w:val="-6"/>
          <w:kern w:val="0"/>
          <w:sz w:val="28"/>
          <w:szCs w:val="28"/>
          <w:shd w:val="clear" w:color="auto" w:fill="FFFFFF"/>
        </w:rPr>
        <w:t>2020</w:t>
      </w:r>
      <w:r>
        <w:rPr>
          <w:rFonts w:ascii="Times New Roman" w:eastAsia="楷体_GB2312" w:hAnsi="Times New Roman" w:cs="Times New Roman"/>
          <w:bCs/>
          <w:spacing w:val="-6"/>
          <w:kern w:val="0"/>
          <w:sz w:val="28"/>
          <w:szCs w:val="28"/>
          <w:shd w:val="clear" w:color="auto" w:fill="FFFFFF"/>
        </w:rPr>
        <w:t>年度州本级医疗（含生育）保险基金预算总收入</w:t>
      </w:r>
      <w:r>
        <w:rPr>
          <w:rFonts w:ascii="Times New Roman" w:eastAsia="楷体_GB2312" w:hAnsi="Times New Roman" w:cs="Times New Roman"/>
          <w:bCs/>
          <w:spacing w:val="-6"/>
          <w:kern w:val="0"/>
          <w:sz w:val="28"/>
          <w:szCs w:val="28"/>
          <w:shd w:val="clear" w:color="auto" w:fill="FFFFFF"/>
        </w:rPr>
        <w:t>45429.90</w:t>
      </w:r>
      <w:r>
        <w:rPr>
          <w:rFonts w:ascii="Times New Roman" w:eastAsia="楷体_GB2312" w:hAnsi="Times New Roman" w:cs="Times New Roman"/>
          <w:bCs/>
          <w:spacing w:val="-6"/>
          <w:kern w:val="0"/>
          <w:sz w:val="28"/>
          <w:szCs w:val="28"/>
          <w:shd w:val="clear" w:color="auto" w:fill="FFFFFF"/>
        </w:rPr>
        <w:t>万元，其中统筹基金</w:t>
      </w:r>
      <w:r>
        <w:rPr>
          <w:rFonts w:ascii="Times New Roman" w:eastAsia="楷体_GB2312" w:hAnsi="Times New Roman" w:cs="Times New Roman"/>
          <w:bCs/>
          <w:spacing w:val="-6"/>
          <w:kern w:val="0"/>
          <w:sz w:val="28"/>
          <w:szCs w:val="28"/>
          <w:shd w:val="clear" w:color="auto" w:fill="FFFFFF"/>
        </w:rPr>
        <w:t>21732.73</w:t>
      </w:r>
      <w:r>
        <w:rPr>
          <w:rFonts w:ascii="Times New Roman" w:eastAsia="楷体_GB2312" w:hAnsi="Times New Roman" w:cs="Times New Roman"/>
          <w:bCs/>
          <w:spacing w:val="-6"/>
          <w:kern w:val="0"/>
          <w:sz w:val="28"/>
          <w:szCs w:val="28"/>
          <w:shd w:val="clear" w:color="auto" w:fill="FFFFFF"/>
        </w:rPr>
        <w:t>万元、个人账户基金</w:t>
      </w:r>
      <w:r>
        <w:rPr>
          <w:rFonts w:ascii="Times New Roman" w:eastAsia="楷体_GB2312" w:hAnsi="Times New Roman" w:cs="Times New Roman"/>
          <w:bCs/>
          <w:spacing w:val="-6"/>
          <w:kern w:val="0"/>
          <w:sz w:val="28"/>
          <w:szCs w:val="28"/>
          <w:shd w:val="clear" w:color="auto" w:fill="FFFFFF"/>
        </w:rPr>
        <w:t>23697.17</w:t>
      </w:r>
      <w:r>
        <w:rPr>
          <w:rFonts w:ascii="Times New Roman" w:eastAsia="楷体_GB2312" w:hAnsi="Times New Roman" w:cs="Times New Roman"/>
          <w:bCs/>
          <w:spacing w:val="-6"/>
          <w:kern w:val="0"/>
          <w:sz w:val="28"/>
          <w:szCs w:val="28"/>
          <w:shd w:val="clear" w:color="auto" w:fill="FFFFFF"/>
        </w:rPr>
        <w:t>万元；</w:t>
      </w:r>
      <w:r>
        <w:rPr>
          <w:rFonts w:ascii="Times New Roman" w:eastAsia="楷体_GB2312" w:hAnsi="Times New Roman" w:cs="Times New Roman"/>
          <w:bCs/>
          <w:color w:val="333333"/>
          <w:spacing w:val="-6"/>
          <w:kern w:val="0"/>
          <w:sz w:val="28"/>
          <w:szCs w:val="28"/>
          <w:shd w:val="clear" w:color="auto" w:fill="FFFFFF"/>
        </w:rPr>
        <w:t>实际总收入</w:t>
      </w:r>
      <w:r>
        <w:rPr>
          <w:rFonts w:ascii="Times New Roman" w:eastAsia="楷体_GB2312" w:hAnsi="Times New Roman" w:cs="Times New Roman"/>
          <w:bCs/>
          <w:color w:val="333333"/>
          <w:spacing w:val="-6"/>
          <w:kern w:val="0"/>
          <w:sz w:val="28"/>
          <w:szCs w:val="28"/>
          <w:shd w:val="clear" w:color="auto" w:fill="FFFFFF"/>
        </w:rPr>
        <w:t>42223.43</w:t>
      </w:r>
      <w:r>
        <w:rPr>
          <w:rFonts w:ascii="Times New Roman" w:eastAsia="楷体_GB2312" w:hAnsi="Times New Roman" w:cs="Times New Roman"/>
          <w:bCs/>
          <w:color w:val="333333"/>
          <w:spacing w:val="-6"/>
          <w:kern w:val="0"/>
          <w:sz w:val="28"/>
          <w:szCs w:val="28"/>
          <w:shd w:val="clear" w:color="auto" w:fill="FFFFFF"/>
        </w:rPr>
        <w:t>万元，其中统筹基金</w:t>
      </w:r>
      <w:r>
        <w:rPr>
          <w:rFonts w:ascii="Times New Roman" w:eastAsia="楷体_GB2312" w:hAnsi="Times New Roman" w:cs="Times New Roman"/>
          <w:bCs/>
          <w:color w:val="333333"/>
          <w:spacing w:val="-6"/>
          <w:kern w:val="0"/>
          <w:sz w:val="28"/>
          <w:szCs w:val="28"/>
          <w:shd w:val="clear" w:color="auto" w:fill="FFFFFF"/>
        </w:rPr>
        <w:t xml:space="preserve">18796.49 </w:t>
      </w:r>
      <w:r>
        <w:rPr>
          <w:rFonts w:ascii="Times New Roman" w:eastAsia="楷体_GB2312" w:hAnsi="Times New Roman" w:cs="Times New Roman"/>
          <w:bCs/>
          <w:color w:val="333333"/>
          <w:spacing w:val="-6"/>
          <w:kern w:val="0"/>
          <w:sz w:val="28"/>
          <w:szCs w:val="28"/>
          <w:shd w:val="clear" w:color="auto" w:fill="FFFFFF"/>
        </w:rPr>
        <w:t>万元、个人账户基金</w:t>
      </w:r>
      <w:r>
        <w:rPr>
          <w:rFonts w:ascii="Times New Roman" w:eastAsia="楷体_GB2312" w:hAnsi="Times New Roman" w:cs="Times New Roman"/>
          <w:bCs/>
          <w:color w:val="333333"/>
          <w:spacing w:val="-6"/>
          <w:kern w:val="0"/>
          <w:sz w:val="28"/>
          <w:szCs w:val="28"/>
          <w:shd w:val="clear" w:color="auto" w:fill="FFFFFF"/>
        </w:rPr>
        <w:t>23426.94</w:t>
      </w:r>
      <w:r>
        <w:rPr>
          <w:rFonts w:ascii="Times New Roman" w:eastAsia="楷体_GB2312" w:hAnsi="Times New Roman" w:cs="Times New Roman"/>
          <w:bCs/>
          <w:color w:val="333333"/>
          <w:spacing w:val="-6"/>
          <w:kern w:val="0"/>
          <w:sz w:val="28"/>
          <w:szCs w:val="28"/>
          <w:shd w:val="clear" w:color="auto" w:fill="FFFFFF"/>
        </w:rPr>
        <w:t>万元；</w:t>
      </w:r>
      <w:r>
        <w:rPr>
          <w:rFonts w:ascii="Times New Roman" w:eastAsia="楷体_GB2312" w:hAnsi="Times New Roman" w:cs="Times New Roman"/>
          <w:bCs/>
          <w:spacing w:val="-6"/>
          <w:kern w:val="0"/>
          <w:sz w:val="28"/>
          <w:szCs w:val="28"/>
          <w:shd w:val="clear" w:color="auto" w:fill="FFFFFF"/>
        </w:rPr>
        <w:t>实际收入较预算减少</w:t>
      </w:r>
      <w:r>
        <w:rPr>
          <w:rFonts w:ascii="Times New Roman" w:eastAsia="楷体_GB2312" w:hAnsi="Times New Roman" w:cs="Times New Roman"/>
          <w:bCs/>
          <w:spacing w:val="-6"/>
          <w:kern w:val="0"/>
          <w:sz w:val="28"/>
          <w:szCs w:val="28"/>
          <w:shd w:val="clear" w:color="auto" w:fill="FFFFFF"/>
        </w:rPr>
        <w:t>3,206.47</w:t>
      </w:r>
      <w:r>
        <w:rPr>
          <w:rFonts w:ascii="Times New Roman" w:eastAsia="楷体_GB2312" w:hAnsi="Times New Roman" w:cs="Times New Roman"/>
          <w:bCs/>
          <w:spacing w:val="-6"/>
          <w:kern w:val="0"/>
          <w:sz w:val="28"/>
          <w:szCs w:val="28"/>
          <w:shd w:val="clear" w:color="auto" w:fill="FFFFFF"/>
        </w:rPr>
        <w:t>万元，减少率为</w:t>
      </w:r>
      <w:r>
        <w:rPr>
          <w:rFonts w:ascii="Times New Roman" w:eastAsia="楷体_GB2312" w:hAnsi="Times New Roman" w:cs="Times New Roman"/>
          <w:bCs/>
          <w:spacing w:val="-6"/>
          <w:kern w:val="0"/>
          <w:sz w:val="28"/>
          <w:szCs w:val="28"/>
          <w:shd w:val="clear" w:color="auto" w:fill="FFFFFF"/>
        </w:rPr>
        <w:t>7.06%</w:t>
      </w:r>
      <w:r>
        <w:rPr>
          <w:rFonts w:ascii="Times New Roman" w:eastAsia="楷体_GB2312" w:hAnsi="Times New Roman" w:cs="Times New Roman"/>
          <w:bCs/>
          <w:spacing w:val="-6"/>
          <w:kern w:val="0"/>
          <w:sz w:val="28"/>
          <w:szCs w:val="28"/>
          <w:shd w:val="clear" w:color="auto" w:fill="FFFFFF"/>
        </w:rPr>
        <w:t>。</w:t>
      </w:r>
    </w:p>
    <w:p w:rsidR="0057447D" w:rsidRDefault="007A4AFA">
      <w:pPr>
        <w:widowControl/>
        <w:spacing w:line="616" w:lineRule="exact"/>
        <w:ind w:firstLine="562"/>
        <w:rPr>
          <w:rFonts w:ascii="Times New Roman" w:eastAsia="楷体_GB2312" w:hAnsi="Times New Roman"/>
          <w:bCs/>
          <w:kern w:val="0"/>
          <w:sz w:val="30"/>
          <w:szCs w:val="30"/>
          <w:shd w:val="clear" w:color="auto" w:fill="FFFFFF"/>
        </w:rPr>
      </w:pPr>
      <w:r>
        <w:rPr>
          <w:rFonts w:ascii="Times New Roman" w:eastAsia="楷体_GB2312" w:hAnsi="Times New Roman"/>
          <w:bCs/>
          <w:kern w:val="0"/>
          <w:sz w:val="28"/>
          <w:szCs w:val="28"/>
          <w:shd w:val="clear" w:color="auto" w:fill="FFFFFF"/>
        </w:rPr>
        <w:lastRenderedPageBreak/>
        <w:t>2020</w:t>
      </w:r>
      <w:r>
        <w:rPr>
          <w:rFonts w:ascii="Times New Roman" w:eastAsia="楷体_GB2312" w:hAnsi="Times New Roman"/>
          <w:bCs/>
          <w:kern w:val="0"/>
          <w:sz w:val="28"/>
          <w:szCs w:val="28"/>
          <w:shd w:val="clear" w:color="auto" w:fill="FFFFFF"/>
        </w:rPr>
        <w:t>年度州级医疗（含生育）保险基金预算总支出</w:t>
      </w:r>
      <w:r>
        <w:rPr>
          <w:rFonts w:ascii="Times New Roman" w:eastAsia="楷体_GB2312" w:hAnsi="Times New Roman"/>
          <w:bCs/>
          <w:kern w:val="0"/>
          <w:sz w:val="28"/>
          <w:szCs w:val="28"/>
          <w:shd w:val="clear" w:color="auto" w:fill="FFFFFF"/>
        </w:rPr>
        <w:t>26774.66</w:t>
      </w:r>
      <w:r>
        <w:rPr>
          <w:rFonts w:ascii="Times New Roman" w:eastAsia="楷体_GB2312" w:hAnsi="Times New Roman"/>
          <w:bCs/>
          <w:kern w:val="0"/>
          <w:sz w:val="28"/>
          <w:szCs w:val="28"/>
          <w:shd w:val="clear" w:color="auto" w:fill="FFFFFF"/>
        </w:rPr>
        <w:t>万元，其中统筹基金</w:t>
      </w:r>
      <w:r>
        <w:rPr>
          <w:rFonts w:ascii="Times New Roman" w:eastAsia="楷体_GB2312" w:hAnsi="Times New Roman"/>
          <w:bCs/>
          <w:kern w:val="0"/>
          <w:sz w:val="28"/>
          <w:szCs w:val="28"/>
          <w:shd w:val="clear" w:color="auto" w:fill="FFFFFF"/>
        </w:rPr>
        <w:t>12734.26</w:t>
      </w:r>
      <w:r>
        <w:rPr>
          <w:rFonts w:ascii="Times New Roman" w:eastAsia="楷体_GB2312" w:hAnsi="Times New Roman"/>
          <w:bCs/>
          <w:kern w:val="0"/>
          <w:sz w:val="28"/>
          <w:szCs w:val="28"/>
          <w:shd w:val="clear" w:color="auto" w:fill="FFFFFF"/>
        </w:rPr>
        <w:t>万元、个人账户基金</w:t>
      </w:r>
      <w:r>
        <w:rPr>
          <w:rFonts w:ascii="Times New Roman" w:eastAsia="楷体_GB2312" w:hAnsi="Times New Roman"/>
          <w:bCs/>
          <w:kern w:val="0"/>
          <w:sz w:val="28"/>
          <w:szCs w:val="28"/>
          <w:shd w:val="clear" w:color="auto" w:fill="FFFFFF"/>
        </w:rPr>
        <w:t>14040.40</w:t>
      </w:r>
      <w:r>
        <w:rPr>
          <w:rFonts w:ascii="Times New Roman" w:eastAsia="楷体_GB2312" w:hAnsi="Times New Roman"/>
          <w:bCs/>
          <w:kern w:val="0"/>
          <w:sz w:val="28"/>
          <w:szCs w:val="28"/>
          <w:shd w:val="clear" w:color="auto" w:fill="FFFFFF"/>
        </w:rPr>
        <w:t>万元；实际总支出</w:t>
      </w:r>
      <w:r>
        <w:rPr>
          <w:rFonts w:ascii="Times New Roman" w:eastAsia="楷体_GB2312" w:hAnsi="Times New Roman"/>
          <w:bCs/>
          <w:kern w:val="0"/>
          <w:sz w:val="28"/>
          <w:szCs w:val="28"/>
          <w:shd w:val="clear" w:color="auto" w:fill="FFFFFF"/>
        </w:rPr>
        <w:t>25672.71</w:t>
      </w:r>
      <w:r>
        <w:rPr>
          <w:rFonts w:ascii="Times New Roman" w:eastAsia="楷体_GB2312" w:hAnsi="Times New Roman"/>
          <w:bCs/>
          <w:kern w:val="0"/>
          <w:sz w:val="28"/>
          <w:szCs w:val="28"/>
          <w:shd w:val="clear" w:color="auto" w:fill="FFFFFF"/>
        </w:rPr>
        <w:t>万元，其中统筹基金</w:t>
      </w:r>
      <w:r>
        <w:rPr>
          <w:rFonts w:ascii="Times New Roman" w:eastAsia="楷体_GB2312" w:hAnsi="Times New Roman"/>
          <w:bCs/>
          <w:kern w:val="0"/>
          <w:sz w:val="28"/>
          <w:szCs w:val="28"/>
          <w:shd w:val="clear" w:color="auto" w:fill="FFFFFF"/>
        </w:rPr>
        <w:t>10581.61</w:t>
      </w:r>
      <w:r>
        <w:rPr>
          <w:rFonts w:ascii="Times New Roman" w:eastAsia="楷体_GB2312" w:hAnsi="Times New Roman"/>
          <w:bCs/>
          <w:kern w:val="0"/>
          <w:sz w:val="28"/>
          <w:szCs w:val="28"/>
          <w:shd w:val="clear" w:color="auto" w:fill="FFFFFF"/>
        </w:rPr>
        <w:t>万元、个人账户基金</w:t>
      </w:r>
      <w:r>
        <w:rPr>
          <w:rFonts w:ascii="Times New Roman" w:eastAsia="楷体_GB2312" w:hAnsi="Times New Roman"/>
          <w:bCs/>
          <w:kern w:val="0"/>
          <w:sz w:val="28"/>
          <w:szCs w:val="28"/>
          <w:shd w:val="clear" w:color="auto" w:fill="FFFFFF"/>
        </w:rPr>
        <w:t>15091.10</w:t>
      </w:r>
      <w:r>
        <w:rPr>
          <w:rFonts w:ascii="Times New Roman" w:eastAsia="楷体_GB2312" w:hAnsi="Times New Roman"/>
          <w:bCs/>
          <w:kern w:val="0"/>
          <w:sz w:val="28"/>
          <w:szCs w:val="28"/>
          <w:shd w:val="clear" w:color="auto" w:fill="FFFFFF"/>
        </w:rPr>
        <w:t>万元；实际支出较预算减少</w:t>
      </w:r>
      <w:r>
        <w:rPr>
          <w:rFonts w:ascii="Times New Roman" w:eastAsia="楷体_GB2312" w:hAnsi="Times New Roman"/>
          <w:bCs/>
          <w:kern w:val="0"/>
          <w:sz w:val="28"/>
          <w:szCs w:val="28"/>
          <w:shd w:val="clear" w:color="auto" w:fill="FFFFFF"/>
        </w:rPr>
        <w:t>1101.95</w:t>
      </w:r>
      <w:r>
        <w:rPr>
          <w:rFonts w:ascii="Times New Roman" w:eastAsia="楷体_GB2312" w:hAnsi="Times New Roman"/>
          <w:bCs/>
          <w:kern w:val="0"/>
          <w:sz w:val="28"/>
          <w:szCs w:val="28"/>
          <w:shd w:val="clear" w:color="auto" w:fill="FFFFFF"/>
        </w:rPr>
        <w:t>万元，减少率为</w:t>
      </w:r>
      <w:r>
        <w:rPr>
          <w:rFonts w:ascii="Times New Roman" w:eastAsia="楷体_GB2312" w:hAnsi="Times New Roman"/>
          <w:bCs/>
          <w:kern w:val="0"/>
          <w:sz w:val="28"/>
          <w:szCs w:val="28"/>
          <w:shd w:val="clear" w:color="auto" w:fill="FFFFFF"/>
        </w:rPr>
        <w:t>4.12%</w:t>
      </w:r>
      <w:r>
        <w:rPr>
          <w:rFonts w:ascii="Times New Roman" w:eastAsia="楷体_GB2312" w:hAnsi="Times New Roman"/>
          <w:bCs/>
          <w:kern w:val="0"/>
          <w:sz w:val="28"/>
          <w:szCs w:val="28"/>
          <w:shd w:val="clear" w:color="auto" w:fill="FFFFFF"/>
        </w:rPr>
        <w:t>。具体见下表：</w:t>
      </w:r>
    </w:p>
    <w:p w:rsidR="0057447D" w:rsidRDefault="007A4AFA" w:rsidP="00D80294">
      <w:pPr>
        <w:spacing w:line="616" w:lineRule="exact"/>
        <w:ind w:firstLineChars="400" w:firstLine="1280"/>
        <w:outlineLvl w:val="0"/>
        <w:rPr>
          <w:rFonts w:ascii="Times New Roman" w:eastAsia="仿宋_GB2312" w:hAnsi="Times New Roman"/>
          <w:sz w:val="32"/>
          <w:szCs w:val="32"/>
        </w:rPr>
      </w:pPr>
      <w:r>
        <w:rPr>
          <w:rFonts w:ascii="Times New Roman" w:eastAsia="黑体" w:hAnsi="Times New Roman"/>
          <w:sz w:val="32"/>
          <w:szCs w:val="32"/>
        </w:rPr>
        <w:t>州本级医疗（含生育）保险基金预算支出明细表</w:t>
      </w:r>
    </w:p>
    <w:p w:rsidR="0057447D" w:rsidRDefault="007A4AFA">
      <w:pPr>
        <w:widowControl/>
        <w:spacing w:line="616" w:lineRule="exact"/>
        <w:ind w:firstLine="562"/>
        <w:jc w:val="right"/>
        <w:rPr>
          <w:rFonts w:ascii="Times New Roman" w:eastAsia="楷体_GB2312" w:hAnsi="Times New Roman"/>
          <w:bCs/>
          <w:kern w:val="0"/>
          <w:sz w:val="24"/>
          <w:shd w:val="clear" w:color="auto" w:fill="FFFFFF"/>
        </w:rPr>
      </w:pPr>
      <w:r>
        <w:rPr>
          <w:rFonts w:ascii="Times New Roman" w:eastAsia="楷体_GB2312" w:hAnsi="Times New Roman"/>
          <w:bCs/>
          <w:kern w:val="0"/>
          <w:sz w:val="24"/>
          <w:shd w:val="clear" w:color="auto" w:fill="FFFFFF"/>
        </w:rPr>
        <w:t>金额单位：万元</w:t>
      </w:r>
    </w:p>
    <w:tbl>
      <w:tblPr>
        <w:tblW w:w="8863" w:type="dxa"/>
        <w:tblInd w:w="98" w:type="dxa"/>
        <w:tblLayout w:type="fixed"/>
        <w:tblLook w:val="04A0"/>
      </w:tblPr>
      <w:tblGrid>
        <w:gridCol w:w="838"/>
        <w:gridCol w:w="1815"/>
        <w:gridCol w:w="1200"/>
        <w:gridCol w:w="1245"/>
        <w:gridCol w:w="1275"/>
        <w:gridCol w:w="1170"/>
        <w:gridCol w:w="1320"/>
      </w:tblGrid>
      <w:tr w:rsidR="0057447D">
        <w:trPr>
          <w:trHeight w:val="480"/>
        </w:trPr>
        <w:tc>
          <w:tcPr>
            <w:tcW w:w="838"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spacing w:line="616" w:lineRule="exac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年度</w:t>
            </w: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spacing w:line="616" w:lineRule="exac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基金名称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spacing w:line="616" w:lineRule="exac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基金总收入</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spacing w:line="616" w:lineRule="exac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基金总支出</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spacing w:line="616" w:lineRule="exac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当期结余</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spacing w:line="616" w:lineRule="exac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上年结余</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spacing w:line="616" w:lineRule="exac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累计结余</w:t>
            </w:r>
          </w:p>
        </w:tc>
      </w:tr>
      <w:tr w:rsidR="0057447D">
        <w:trPr>
          <w:trHeight w:val="540"/>
        </w:trPr>
        <w:tc>
          <w:tcPr>
            <w:tcW w:w="838" w:type="dxa"/>
            <w:vMerge w:val="restart"/>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2019年决算数</w:t>
            </w: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职工基本医疗保险（含生育保险）基金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38,574.15</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22,179.90</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16,394.25</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66,304.55</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82,698.80</w:t>
            </w:r>
          </w:p>
        </w:tc>
      </w:tr>
      <w:tr w:rsidR="0057447D">
        <w:trPr>
          <w:trHeight w:val="380"/>
        </w:trPr>
        <w:tc>
          <w:tcPr>
            <w:tcW w:w="838" w:type="dxa"/>
            <w:vMerge/>
            <w:tcBorders>
              <w:top w:val="single" w:sz="4" w:space="0" w:color="000000"/>
              <w:left w:val="single" w:sz="4" w:space="0" w:color="000000"/>
              <w:bottom w:val="single" w:sz="4" w:space="0" w:color="000000"/>
              <w:right w:val="single" w:sz="4" w:space="0" w:color="000000"/>
            </w:tcBorders>
            <w:vAlign w:val="center"/>
          </w:tcPr>
          <w:p w:rsidR="0057447D" w:rsidRDefault="0057447D">
            <w:pPr>
              <w:jc w:val="center"/>
              <w:rPr>
                <w:rFonts w:ascii="仿宋_GB2312" w:eastAsia="仿宋_GB2312" w:hAnsi="宋体" w:cs="仿宋_GB2312"/>
                <w:color w:val="000000"/>
                <w:sz w:val="18"/>
                <w:szCs w:val="1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其中：统筹基金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17,395.14</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9,818.65</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7,576.48</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31,122.38</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38,698.87</w:t>
            </w:r>
          </w:p>
        </w:tc>
      </w:tr>
      <w:tr w:rsidR="0057447D">
        <w:trPr>
          <w:trHeight w:val="380"/>
        </w:trPr>
        <w:tc>
          <w:tcPr>
            <w:tcW w:w="838" w:type="dxa"/>
            <w:vMerge/>
            <w:tcBorders>
              <w:top w:val="single" w:sz="4" w:space="0" w:color="000000"/>
              <w:left w:val="single" w:sz="4" w:space="0" w:color="000000"/>
              <w:bottom w:val="single" w:sz="4" w:space="0" w:color="000000"/>
              <w:right w:val="single" w:sz="4" w:space="0" w:color="000000"/>
            </w:tcBorders>
            <w:vAlign w:val="center"/>
          </w:tcPr>
          <w:p w:rsidR="0057447D" w:rsidRDefault="0057447D">
            <w:pPr>
              <w:jc w:val="center"/>
              <w:rPr>
                <w:rFonts w:ascii="仿宋_GB2312" w:eastAsia="仿宋_GB2312" w:hAnsi="宋体" w:cs="仿宋_GB2312"/>
                <w:color w:val="000000"/>
                <w:sz w:val="18"/>
                <w:szCs w:val="1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个人账户基金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21,179.01</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12,361.25</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8,817.76</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35,182.17</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43,999.93</w:t>
            </w:r>
          </w:p>
        </w:tc>
      </w:tr>
      <w:tr w:rsidR="0057447D">
        <w:trPr>
          <w:trHeight w:val="520"/>
        </w:trPr>
        <w:tc>
          <w:tcPr>
            <w:tcW w:w="838" w:type="dxa"/>
            <w:vMerge w:val="restart"/>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2020年预算数</w:t>
            </w: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职工基本医疗保险（含生育保险）基金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45,429.90</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26,774.6</w:t>
            </w:r>
            <w:r>
              <w:rPr>
                <w:rFonts w:ascii="Times New Roman" w:hAnsi="Times New Roman" w:hint="eastAsia"/>
                <w:color w:val="000000"/>
                <w:kern w:val="0"/>
                <w:sz w:val="22"/>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18,655.24</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83,449.71</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102,104.95</w:t>
            </w:r>
          </w:p>
        </w:tc>
      </w:tr>
      <w:tr w:rsidR="0057447D">
        <w:trPr>
          <w:trHeight w:val="380"/>
        </w:trPr>
        <w:tc>
          <w:tcPr>
            <w:tcW w:w="838" w:type="dxa"/>
            <w:vMerge/>
            <w:tcBorders>
              <w:top w:val="single" w:sz="4" w:space="0" w:color="000000"/>
              <w:left w:val="single" w:sz="4" w:space="0" w:color="000000"/>
              <w:bottom w:val="single" w:sz="4" w:space="0" w:color="000000"/>
              <w:right w:val="single" w:sz="4" w:space="0" w:color="000000"/>
            </w:tcBorders>
            <w:vAlign w:val="center"/>
          </w:tcPr>
          <w:p w:rsidR="0057447D" w:rsidRDefault="0057447D">
            <w:pPr>
              <w:jc w:val="center"/>
              <w:rPr>
                <w:rFonts w:ascii="仿宋_GB2312" w:eastAsia="仿宋_GB2312" w:hAnsi="宋体" w:cs="仿宋_GB2312"/>
                <w:color w:val="000000"/>
                <w:sz w:val="18"/>
                <w:szCs w:val="1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其中：统筹基金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21,732.73</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12,734.26</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8,998.47</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38,987.44</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47,985.91</w:t>
            </w:r>
          </w:p>
        </w:tc>
      </w:tr>
      <w:tr w:rsidR="0057447D">
        <w:trPr>
          <w:trHeight w:val="280"/>
        </w:trPr>
        <w:tc>
          <w:tcPr>
            <w:tcW w:w="838" w:type="dxa"/>
            <w:vMerge/>
            <w:tcBorders>
              <w:top w:val="single" w:sz="4" w:space="0" w:color="000000"/>
              <w:left w:val="single" w:sz="4" w:space="0" w:color="000000"/>
              <w:bottom w:val="single" w:sz="4" w:space="0" w:color="000000"/>
              <w:right w:val="single" w:sz="4" w:space="0" w:color="000000"/>
            </w:tcBorders>
            <w:vAlign w:val="center"/>
          </w:tcPr>
          <w:p w:rsidR="0057447D" w:rsidRDefault="0057447D">
            <w:pPr>
              <w:jc w:val="center"/>
              <w:rPr>
                <w:rFonts w:ascii="仿宋_GB2312" w:eastAsia="仿宋_GB2312" w:hAnsi="宋体" w:cs="仿宋_GB2312"/>
                <w:color w:val="000000"/>
                <w:sz w:val="18"/>
                <w:szCs w:val="1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个人账户基金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23,697.17</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14,040.40</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9,656.77</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44,462.27</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54,119.04</w:t>
            </w:r>
          </w:p>
        </w:tc>
      </w:tr>
      <w:tr w:rsidR="0057447D">
        <w:trPr>
          <w:trHeight w:val="500"/>
        </w:trPr>
        <w:tc>
          <w:tcPr>
            <w:tcW w:w="838" w:type="dxa"/>
            <w:vMerge w:val="restart"/>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2020年决算数</w:t>
            </w: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职工基本医疗保险（含生育保险）基金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42,223.43</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25,672.71</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16,550.72</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82,698.80</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99,249.52</w:t>
            </w:r>
          </w:p>
        </w:tc>
      </w:tr>
      <w:tr w:rsidR="0057447D">
        <w:trPr>
          <w:trHeight w:val="300"/>
        </w:trPr>
        <w:tc>
          <w:tcPr>
            <w:tcW w:w="838" w:type="dxa"/>
            <w:vMerge/>
            <w:tcBorders>
              <w:top w:val="single" w:sz="4" w:space="0" w:color="000000"/>
              <w:left w:val="single" w:sz="4" w:space="0" w:color="000000"/>
              <w:bottom w:val="single" w:sz="4" w:space="0" w:color="000000"/>
              <w:right w:val="single" w:sz="4" w:space="0" w:color="000000"/>
            </w:tcBorders>
            <w:vAlign w:val="center"/>
          </w:tcPr>
          <w:p w:rsidR="0057447D" w:rsidRDefault="0057447D">
            <w:pPr>
              <w:jc w:val="center"/>
              <w:rPr>
                <w:rFonts w:ascii="仿宋_GB2312" w:eastAsia="仿宋_GB2312" w:hAnsi="宋体" w:cs="仿宋_GB2312"/>
                <w:color w:val="000000"/>
                <w:sz w:val="18"/>
                <w:szCs w:val="1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其中：统筹基金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18,796.49</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10,581.61</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8,214.88</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38,698.87</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46,913.75</w:t>
            </w:r>
          </w:p>
        </w:tc>
      </w:tr>
      <w:tr w:rsidR="0057447D">
        <w:trPr>
          <w:trHeight w:val="380"/>
        </w:trPr>
        <w:tc>
          <w:tcPr>
            <w:tcW w:w="838" w:type="dxa"/>
            <w:vMerge/>
            <w:tcBorders>
              <w:top w:val="single" w:sz="4" w:space="0" w:color="000000"/>
              <w:left w:val="single" w:sz="4" w:space="0" w:color="000000"/>
              <w:bottom w:val="single" w:sz="4" w:space="0" w:color="000000"/>
              <w:right w:val="single" w:sz="4" w:space="0" w:color="000000"/>
            </w:tcBorders>
            <w:vAlign w:val="center"/>
          </w:tcPr>
          <w:p w:rsidR="0057447D" w:rsidRDefault="0057447D">
            <w:pPr>
              <w:jc w:val="center"/>
              <w:rPr>
                <w:rFonts w:ascii="仿宋_GB2312" w:eastAsia="仿宋_GB2312" w:hAnsi="宋体" w:cs="仿宋_GB2312"/>
                <w:color w:val="000000"/>
                <w:sz w:val="18"/>
                <w:szCs w:val="1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个人账户基金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23,426.94</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15,091.10</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8,335.85</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43,999.93</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52,335.78</w:t>
            </w:r>
          </w:p>
        </w:tc>
      </w:tr>
      <w:tr w:rsidR="0057447D">
        <w:trPr>
          <w:trHeight w:val="500"/>
        </w:trPr>
        <w:tc>
          <w:tcPr>
            <w:tcW w:w="838" w:type="dxa"/>
            <w:vMerge w:val="restart"/>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同比增长率</w:t>
            </w: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职工基本医疗保险（含生育保险）基金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0.09</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0.16</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0.01</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0.25</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0.20</w:t>
            </w:r>
          </w:p>
        </w:tc>
      </w:tr>
      <w:tr w:rsidR="0057447D">
        <w:trPr>
          <w:trHeight w:val="380"/>
        </w:trPr>
        <w:tc>
          <w:tcPr>
            <w:tcW w:w="838" w:type="dxa"/>
            <w:vMerge/>
            <w:tcBorders>
              <w:top w:val="single" w:sz="4" w:space="0" w:color="000000"/>
              <w:left w:val="single" w:sz="4" w:space="0" w:color="000000"/>
              <w:bottom w:val="single" w:sz="4" w:space="0" w:color="000000"/>
              <w:right w:val="single" w:sz="4" w:space="0" w:color="000000"/>
            </w:tcBorders>
            <w:vAlign w:val="center"/>
          </w:tcPr>
          <w:p w:rsidR="0057447D" w:rsidRDefault="0057447D">
            <w:pPr>
              <w:jc w:val="center"/>
              <w:rPr>
                <w:rFonts w:ascii="仿宋_GB2312" w:eastAsia="仿宋_GB2312" w:hAnsi="宋体" w:cs="仿宋_GB2312"/>
                <w:color w:val="000000"/>
                <w:sz w:val="18"/>
                <w:szCs w:val="1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其中：统筹基金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0.08</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0.08</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0.08</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0.24</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0.21</w:t>
            </w:r>
          </w:p>
        </w:tc>
      </w:tr>
      <w:tr w:rsidR="0057447D">
        <w:trPr>
          <w:trHeight w:val="320"/>
        </w:trPr>
        <w:tc>
          <w:tcPr>
            <w:tcW w:w="838" w:type="dxa"/>
            <w:vMerge/>
            <w:tcBorders>
              <w:top w:val="single" w:sz="4" w:space="0" w:color="000000"/>
              <w:left w:val="single" w:sz="4" w:space="0" w:color="000000"/>
              <w:bottom w:val="single" w:sz="4" w:space="0" w:color="000000"/>
              <w:right w:val="single" w:sz="4" w:space="0" w:color="000000"/>
            </w:tcBorders>
            <w:vAlign w:val="center"/>
          </w:tcPr>
          <w:p w:rsidR="0057447D" w:rsidRDefault="0057447D">
            <w:pPr>
              <w:jc w:val="center"/>
              <w:rPr>
                <w:rFonts w:ascii="仿宋_GB2312" w:eastAsia="仿宋_GB2312" w:hAnsi="宋体" w:cs="仿宋_GB2312"/>
                <w:color w:val="000000"/>
                <w:sz w:val="18"/>
                <w:szCs w:val="1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rsidP="00D80294">
            <w:pPr>
              <w:widowControl/>
              <w:ind w:firstLineChars="200" w:firstLine="360"/>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个人账户基金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0.11</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0.22</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-0.05</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0.25</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0.19</w:t>
            </w:r>
          </w:p>
        </w:tc>
      </w:tr>
      <w:tr w:rsidR="0057447D">
        <w:trPr>
          <w:trHeight w:val="560"/>
        </w:trPr>
        <w:tc>
          <w:tcPr>
            <w:tcW w:w="838" w:type="dxa"/>
            <w:vMerge w:val="restart"/>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2020年预算差异表</w:t>
            </w: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职工基本医疗保险（含生育保险）基金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-3,206.47</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-1,101.95</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-2,104.51</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-750.91</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-2,855.43</w:t>
            </w:r>
          </w:p>
        </w:tc>
      </w:tr>
      <w:tr w:rsidR="0057447D">
        <w:trPr>
          <w:trHeight w:val="440"/>
        </w:trPr>
        <w:tc>
          <w:tcPr>
            <w:tcW w:w="838" w:type="dxa"/>
            <w:vMerge/>
            <w:tcBorders>
              <w:top w:val="single" w:sz="4" w:space="0" w:color="000000"/>
              <w:left w:val="single" w:sz="4" w:space="0" w:color="000000"/>
              <w:bottom w:val="single" w:sz="4" w:space="0" w:color="000000"/>
              <w:right w:val="single" w:sz="4" w:space="0" w:color="000000"/>
            </w:tcBorders>
            <w:vAlign w:val="center"/>
          </w:tcPr>
          <w:p w:rsidR="0057447D" w:rsidRDefault="0057447D">
            <w:pPr>
              <w:jc w:val="center"/>
              <w:rPr>
                <w:rFonts w:ascii="仿宋_GB2312" w:eastAsia="仿宋_GB2312" w:hAnsi="宋体" w:cs="仿宋_GB2312"/>
                <w:color w:val="000000"/>
                <w:sz w:val="18"/>
                <w:szCs w:val="1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其中：统筹基金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-2,936.24</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-2,152.65</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-783.59</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-288.57</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-1,072.16</w:t>
            </w:r>
          </w:p>
        </w:tc>
      </w:tr>
      <w:tr w:rsidR="0057447D">
        <w:trPr>
          <w:trHeight w:val="380"/>
        </w:trPr>
        <w:tc>
          <w:tcPr>
            <w:tcW w:w="838" w:type="dxa"/>
            <w:vMerge/>
            <w:tcBorders>
              <w:top w:val="single" w:sz="4" w:space="0" w:color="000000"/>
              <w:left w:val="single" w:sz="4" w:space="0" w:color="000000"/>
              <w:bottom w:val="single" w:sz="4" w:space="0" w:color="000000"/>
              <w:right w:val="single" w:sz="4" w:space="0" w:color="000000"/>
            </w:tcBorders>
            <w:vAlign w:val="center"/>
          </w:tcPr>
          <w:p w:rsidR="0057447D" w:rsidRDefault="0057447D">
            <w:pPr>
              <w:jc w:val="center"/>
              <w:rPr>
                <w:rFonts w:ascii="仿宋_GB2312" w:eastAsia="仿宋_GB2312" w:hAnsi="宋体" w:cs="仿宋_GB2312"/>
                <w:color w:val="000000"/>
                <w:sz w:val="18"/>
                <w:szCs w:val="18"/>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个人账户基金</w:t>
            </w:r>
          </w:p>
        </w:tc>
        <w:tc>
          <w:tcPr>
            <w:tcW w:w="120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-270.23</w:t>
            </w:r>
          </w:p>
        </w:tc>
        <w:tc>
          <w:tcPr>
            <w:tcW w:w="124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1,050.70</w:t>
            </w:r>
          </w:p>
        </w:tc>
        <w:tc>
          <w:tcPr>
            <w:tcW w:w="1275"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-1,320.92</w:t>
            </w:r>
          </w:p>
        </w:tc>
        <w:tc>
          <w:tcPr>
            <w:tcW w:w="117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-462.34</w:t>
            </w:r>
          </w:p>
        </w:tc>
        <w:tc>
          <w:tcPr>
            <w:tcW w:w="1320" w:type="dxa"/>
            <w:tcBorders>
              <w:top w:val="single" w:sz="4" w:space="0" w:color="000000"/>
              <w:left w:val="single" w:sz="4" w:space="0" w:color="000000"/>
              <w:bottom w:val="single" w:sz="4" w:space="0" w:color="000000"/>
              <w:right w:val="single" w:sz="4" w:space="0" w:color="000000"/>
            </w:tcBorders>
            <w:vAlign w:val="center"/>
          </w:tcPr>
          <w:p w:rsidR="0057447D" w:rsidRDefault="007A4AFA">
            <w:pPr>
              <w:widowControl/>
              <w:jc w:val="right"/>
              <w:textAlignment w:val="center"/>
              <w:rPr>
                <w:rFonts w:ascii="Times New Roman" w:hAnsi="Times New Roman"/>
                <w:color w:val="000000"/>
                <w:sz w:val="22"/>
              </w:rPr>
            </w:pPr>
            <w:r>
              <w:rPr>
                <w:rFonts w:ascii="Times New Roman" w:hAnsi="Times New Roman"/>
                <w:color w:val="000000"/>
                <w:kern w:val="0"/>
                <w:sz w:val="22"/>
              </w:rPr>
              <w:t>-1,783.27</w:t>
            </w:r>
          </w:p>
        </w:tc>
      </w:tr>
    </w:tbl>
    <w:p w:rsidR="0057447D" w:rsidRDefault="007A4AFA">
      <w:pPr>
        <w:widowControl/>
        <w:spacing w:line="180" w:lineRule="atLeast"/>
        <w:ind w:firstLine="562"/>
        <w:rPr>
          <w:rFonts w:ascii="Times New Roman" w:eastAsia="楷体_GB2312" w:hAnsi="Times New Roman"/>
          <w:color w:val="000000"/>
          <w:sz w:val="12"/>
          <w:szCs w:val="12"/>
        </w:rPr>
      </w:pPr>
      <w:r>
        <w:rPr>
          <w:rFonts w:ascii="Times New Roman" w:eastAsia="楷体_GB2312" w:hAnsi="Times New Roman"/>
          <w:b/>
          <w:color w:val="000000"/>
          <w:kern w:val="0"/>
          <w:sz w:val="28"/>
          <w:szCs w:val="28"/>
          <w:shd w:val="clear" w:color="auto" w:fill="FFFFFF"/>
        </w:rPr>
        <w:t>六、单位整体支出绩效情况</w:t>
      </w:r>
    </w:p>
    <w:p w:rsidR="0057447D" w:rsidRDefault="007A4AFA">
      <w:pPr>
        <w:widowControl/>
        <w:spacing w:line="180" w:lineRule="atLeast"/>
        <w:ind w:firstLine="562"/>
        <w:rPr>
          <w:rFonts w:ascii="Times New Roman" w:eastAsia="楷体_GB2312" w:hAnsi="Times New Roman"/>
          <w:bCs/>
          <w:color w:val="000000"/>
          <w:kern w:val="0"/>
          <w:sz w:val="28"/>
          <w:szCs w:val="28"/>
          <w:shd w:val="clear" w:color="auto" w:fill="FFFFFF"/>
        </w:rPr>
      </w:pPr>
      <w:r>
        <w:rPr>
          <w:rFonts w:ascii="Times New Roman" w:eastAsia="楷体_GB2312" w:hAnsi="Times New Roman"/>
          <w:bCs/>
          <w:color w:val="000000"/>
          <w:kern w:val="0"/>
          <w:sz w:val="28"/>
          <w:szCs w:val="28"/>
          <w:shd w:val="clear" w:color="auto" w:fill="FFFFFF"/>
        </w:rPr>
        <w:t>根据《湘西自治州财政局关于开展</w:t>
      </w:r>
      <w:r>
        <w:rPr>
          <w:rFonts w:ascii="Times New Roman" w:eastAsia="楷体_GB2312" w:hAnsi="Times New Roman"/>
          <w:bCs/>
          <w:color w:val="000000"/>
          <w:kern w:val="0"/>
          <w:sz w:val="28"/>
          <w:szCs w:val="28"/>
          <w:shd w:val="clear" w:color="auto" w:fill="FFFFFF"/>
        </w:rPr>
        <w:t>2020</w:t>
      </w:r>
      <w:r>
        <w:rPr>
          <w:rFonts w:ascii="Times New Roman" w:eastAsia="楷体_GB2312" w:hAnsi="Times New Roman"/>
          <w:bCs/>
          <w:color w:val="000000"/>
          <w:kern w:val="0"/>
          <w:sz w:val="28"/>
          <w:szCs w:val="28"/>
          <w:shd w:val="clear" w:color="auto" w:fill="FFFFFF"/>
        </w:rPr>
        <w:t>年度州直预算部门（单位）整体支出绩效自评工作的通知》（州财绩〔</w:t>
      </w:r>
      <w:r>
        <w:rPr>
          <w:rFonts w:ascii="Times New Roman" w:eastAsia="楷体_GB2312" w:hAnsi="Times New Roman"/>
          <w:bCs/>
          <w:color w:val="000000"/>
          <w:kern w:val="0"/>
          <w:sz w:val="28"/>
          <w:szCs w:val="28"/>
          <w:shd w:val="clear" w:color="auto" w:fill="FFFFFF"/>
        </w:rPr>
        <w:t>2021</w:t>
      </w:r>
      <w:r>
        <w:rPr>
          <w:rFonts w:ascii="Times New Roman" w:eastAsia="楷体_GB2312" w:hAnsi="Times New Roman"/>
          <w:bCs/>
          <w:color w:val="000000"/>
          <w:kern w:val="0"/>
          <w:sz w:val="28"/>
          <w:szCs w:val="28"/>
          <w:shd w:val="clear" w:color="auto" w:fill="FFFFFF"/>
        </w:rPr>
        <w:t>〕</w:t>
      </w:r>
      <w:r>
        <w:rPr>
          <w:rFonts w:ascii="Times New Roman" w:eastAsia="楷体_GB2312" w:hAnsi="Times New Roman"/>
          <w:bCs/>
          <w:color w:val="000000"/>
          <w:kern w:val="0"/>
          <w:sz w:val="28"/>
          <w:szCs w:val="28"/>
          <w:shd w:val="clear" w:color="auto" w:fill="FFFFFF"/>
        </w:rPr>
        <w:t>8</w:t>
      </w:r>
      <w:r>
        <w:rPr>
          <w:rFonts w:ascii="Times New Roman" w:eastAsia="楷体_GB2312" w:hAnsi="Times New Roman"/>
          <w:bCs/>
          <w:color w:val="000000"/>
          <w:kern w:val="0"/>
          <w:sz w:val="28"/>
          <w:szCs w:val="28"/>
          <w:shd w:val="clear" w:color="auto" w:fill="FFFFFF"/>
        </w:rPr>
        <w:t>号）文件要</w:t>
      </w:r>
      <w:r>
        <w:rPr>
          <w:rFonts w:ascii="Times New Roman" w:eastAsia="楷体_GB2312" w:hAnsi="Times New Roman"/>
          <w:bCs/>
          <w:color w:val="000000"/>
          <w:kern w:val="0"/>
          <w:sz w:val="28"/>
          <w:szCs w:val="28"/>
          <w:shd w:val="clear" w:color="auto" w:fill="FFFFFF"/>
        </w:rPr>
        <w:lastRenderedPageBreak/>
        <w:t>求，我局下发了《关于开展</w:t>
      </w:r>
      <w:r>
        <w:rPr>
          <w:rFonts w:ascii="Times New Roman" w:eastAsia="楷体_GB2312" w:hAnsi="Times New Roman"/>
          <w:bCs/>
          <w:color w:val="000000"/>
          <w:kern w:val="0"/>
          <w:sz w:val="28"/>
          <w:szCs w:val="28"/>
          <w:shd w:val="clear" w:color="auto" w:fill="FFFFFF"/>
        </w:rPr>
        <w:t>2020</w:t>
      </w:r>
      <w:r>
        <w:rPr>
          <w:rFonts w:ascii="Times New Roman" w:eastAsia="楷体_GB2312" w:hAnsi="Times New Roman"/>
          <w:bCs/>
          <w:color w:val="000000"/>
          <w:kern w:val="0"/>
          <w:sz w:val="28"/>
          <w:szCs w:val="28"/>
          <w:shd w:val="clear" w:color="auto" w:fill="FFFFFF"/>
        </w:rPr>
        <w:t>年部门整体支出绩效自评工作的通知》，成立了各职能科室负责人及经办人合计</w:t>
      </w:r>
      <w:r>
        <w:rPr>
          <w:rFonts w:ascii="Times New Roman" w:eastAsia="楷体_GB2312" w:hAnsi="Times New Roman"/>
          <w:bCs/>
          <w:color w:val="000000"/>
          <w:kern w:val="0"/>
          <w:sz w:val="28"/>
          <w:szCs w:val="28"/>
          <w:shd w:val="clear" w:color="auto" w:fill="FFFFFF"/>
        </w:rPr>
        <w:t>7</w:t>
      </w:r>
      <w:r>
        <w:rPr>
          <w:rFonts w:ascii="Times New Roman" w:eastAsia="楷体_GB2312" w:hAnsi="Times New Roman"/>
          <w:bCs/>
          <w:color w:val="000000"/>
          <w:kern w:val="0"/>
          <w:sz w:val="28"/>
          <w:szCs w:val="28"/>
          <w:shd w:val="clear" w:color="auto" w:fill="FFFFFF"/>
        </w:rPr>
        <w:t>人组成的绩效自评工作小组，于</w:t>
      </w:r>
      <w:r>
        <w:rPr>
          <w:rFonts w:ascii="Times New Roman" w:eastAsia="楷体_GB2312" w:hAnsi="Times New Roman"/>
          <w:bCs/>
          <w:color w:val="000000"/>
          <w:kern w:val="0"/>
          <w:sz w:val="28"/>
          <w:szCs w:val="28"/>
          <w:shd w:val="clear" w:color="auto" w:fill="FFFFFF"/>
        </w:rPr>
        <w:t>2021</w:t>
      </w:r>
      <w:r>
        <w:rPr>
          <w:rFonts w:ascii="Times New Roman" w:eastAsia="楷体_GB2312" w:hAnsi="Times New Roman"/>
          <w:bCs/>
          <w:color w:val="000000"/>
          <w:kern w:val="0"/>
          <w:sz w:val="28"/>
          <w:szCs w:val="28"/>
          <w:shd w:val="clear" w:color="auto" w:fill="FFFFFF"/>
        </w:rPr>
        <w:t>年</w:t>
      </w:r>
      <w:r>
        <w:rPr>
          <w:rFonts w:ascii="Times New Roman" w:eastAsia="楷体_GB2312" w:hAnsi="Times New Roman"/>
          <w:bCs/>
          <w:color w:val="000000"/>
          <w:kern w:val="0"/>
          <w:sz w:val="28"/>
          <w:szCs w:val="28"/>
          <w:shd w:val="clear" w:color="auto" w:fill="FFFFFF"/>
        </w:rPr>
        <w:t>5</w:t>
      </w:r>
      <w:r>
        <w:rPr>
          <w:rFonts w:ascii="Times New Roman" w:eastAsia="楷体_GB2312" w:hAnsi="Times New Roman"/>
          <w:bCs/>
          <w:color w:val="000000"/>
          <w:kern w:val="0"/>
          <w:sz w:val="28"/>
          <w:szCs w:val="28"/>
          <w:shd w:val="clear" w:color="auto" w:fill="FFFFFF"/>
        </w:rPr>
        <w:t>月</w:t>
      </w:r>
      <w:r>
        <w:rPr>
          <w:rFonts w:ascii="Times New Roman" w:eastAsia="楷体_GB2312" w:hAnsi="Times New Roman"/>
          <w:bCs/>
          <w:color w:val="000000"/>
          <w:kern w:val="0"/>
          <w:sz w:val="28"/>
          <w:szCs w:val="28"/>
          <w:shd w:val="clear" w:color="auto" w:fill="FFFFFF"/>
        </w:rPr>
        <w:t>18</w:t>
      </w:r>
      <w:r>
        <w:rPr>
          <w:rFonts w:ascii="Times New Roman" w:eastAsia="楷体_GB2312" w:hAnsi="Times New Roman"/>
          <w:bCs/>
          <w:color w:val="000000"/>
          <w:kern w:val="0"/>
          <w:sz w:val="28"/>
          <w:szCs w:val="28"/>
          <w:shd w:val="clear" w:color="auto" w:fill="FFFFFF"/>
        </w:rPr>
        <w:t>日至</w:t>
      </w:r>
      <w:r>
        <w:rPr>
          <w:rFonts w:ascii="Times New Roman" w:eastAsia="楷体_GB2312" w:hAnsi="Times New Roman"/>
          <w:bCs/>
          <w:color w:val="000000"/>
          <w:kern w:val="0"/>
          <w:sz w:val="28"/>
          <w:szCs w:val="28"/>
          <w:shd w:val="clear" w:color="auto" w:fill="FFFFFF"/>
        </w:rPr>
        <w:t>6</w:t>
      </w:r>
      <w:r>
        <w:rPr>
          <w:rFonts w:ascii="Times New Roman" w:eastAsia="楷体_GB2312" w:hAnsi="Times New Roman"/>
          <w:bCs/>
          <w:color w:val="000000"/>
          <w:kern w:val="0"/>
          <w:sz w:val="28"/>
          <w:szCs w:val="28"/>
          <w:shd w:val="clear" w:color="auto" w:fill="FFFFFF"/>
        </w:rPr>
        <w:t>月</w:t>
      </w:r>
      <w:r>
        <w:rPr>
          <w:rFonts w:ascii="Times New Roman" w:eastAsia="楷体_GB2312" w:hAnsi="Times New Roman"/>
          <w:bCs/>
          <w:color w:val="000000"/>
          <w:kern w:val="0"/>
          <w:sz w:val="28"/>
          <w:szCs w:val="28"/>
          <w:shd w:val="clear" w:color="auto" w:fill="FFFFFF"/>
        </w:rPr>
        <w:t>15</w:t>
      </w:r>
      <w:r>
        <w:rPr>
          <w:rFonts w:ascii="Times New Roman" w:eastAsia="楷体_GB2312" w:hAnsi="Times New Roman"/>
          <w:bCs/>
          <w:color w:val="000000"/>
          <w:kern w:val="0"/>
          <w:sz w:val="28"/>
          <w:szCs w:val="28"/>
          <w:shd w:val="clear" w:color="auto" w:fill="FFFFFF"/>
        </w:rPr>
        <w:t>日对我局的整体支出认真开展了绩效自评工作。评价对象包括</w:t>
      </w:r>
      <w:r>
        <w:rPr>
          <w:rFonts w:ascii="Times New Roman" w:eastAsia="楷体_GB2312" w:hAnsi="Times New Roman"/>
          <w:bCs/>
          <w:color w:val="000000"/>
          <w:kern w:val="0"/>
          <w:sz w:val="28"/>
          <w:szCs w:val="28"/>
          <w:shd w:val="clear" w:color="auto" w:fill="FFFFFF"/>
        </w:rPr>
        <w:t>2020</w:t>
      </w:r>
      <w:r>
        <w:rPr>
          <w:rFonts w:ascii="Times New Roman" w:eastAsia="楷体_GB2312" w:hAnsi="Times New Roman"/>
          <w:bCs/>
          <w:color w:val="000000"/>
          <w:kern w:val="0"/>
          <w:sz w:val="28"/>
          <w:szCs w:val="28"/>
          <w:shd w:val="clear" w:color="auto" w:fill="FFFFFF"/>
        </w:rPr>
        <w:t>年度州级财政安排的一般公共预算支出、政府性基金预算支出和州本级医疗（含生育）保险基金预算支出。评价范围包括</w:t>
      </w:r>
      <w:r>
        <w:rPr>
          <w:rFonts w:ascii="Times New Roman" w:eastAsia="楷体_GB2312" w:hAnsi="Times New Roman"/>
          <w:bCs/>
          <w:color w:val="000000"/>
          <w:kern w:val="0"/>
          <w:sz w:val="28"/>
          <w:szCs w:val="28"/>
          <w:shd w:val="clear" w:color="auto" w:fill="FFFFFF"/>
        </w:rPr>
        <w:t>5</w:t>
      </w:r>
      <w:r>
        <w:rPr>
          <w:rFonts w:ascii="Times New Roman" w:eastAsia="楷体_GB2312" w:hAnsi="Times New Roman"/>
          <w:bCs/>
          <w:color w:val="000000"/>
          <w:kern w:val="0"/>
          <w:sz w:val="28"/>
          <w:szCs w:val="28"/>
          <w:shd w:val="clear" w:color="auto" w:fill="FFFFFF"/>
        </w:rPr>
        <w:t>个内设处室和</w:t>
      </w:r>
      <w:r>
        <w:rPr>
          <w:rFonts w:ascii="Times New Roman" w:eastAsia="楷体_GB2312" w:hAnsi="Times New Roman"/>
          <w:bCs/>
          <w:color w:val="000000"/>
          <w:kern w:val="0"/>
          <w:sz w:val="28"/>
          <w:szCs w:val="28"/>
          <w:shd w:val="clear" w:color="auto" w:fill="FFFFFF"/>
        </w:rPr>
        <w:t>3</w:t>
      </w:r>
      <w:r>
        <w:rPr>
          <w:rFonts w:ascii="Times New Roman" w:eastAsia="楷体_GB2312" w:hAnsi="Times New Roman"/>
          <w:bCs/>
          <w:color w:val="000000"/>
          <w:kern w:val="0"/>
          <w:sz w:val="28"/>
          <w:szCs w:val="28"/>
          <w:shd w:val="clear" w:color="auto" w:fill="FFFFFF"/>
        </w:rPr>
        <w:t>个所属事业单位。</w:t>
      </w:r>
    </w:p>
    <w:p w:rsidR="0057447D" w:rsidRDefault="007A4AFA">
      <w:pPr>
        <w:widowControl/>
        <w:spacing w:line="180" w:lineRule="atLeast"/>
        <w:ind w:firstLine="562"/>
        <w:rPr>
          <w:rFonts w:ascii="Times New Roman" w:eastAsia="楷体_GB2312" w:hAnsi="Times New Roman"/>
          <w:bCs/>
          <w:color w:val="000000"/>
          <w:kern w:val="0"/>
          <w:sz w:val="28"/>
          <w:szCs w:val="28"/>
          <w:shd w:val="clear" w:color="auto" w:fill="FFFFFF"/>
        </w:rPr>
      </w:pPr>
      <w:r>
        <w:rPr>
          <w:rFonts w:ascii="Times New Roman" w:eastAsia="楷体_GB2312" w:hAnsi="Times New Roman"/>
          <w:bCs/>
          <w:color w:val="000000"/>
          <w:kern w:val="0"/>
          <w:sz w:val="28"/>
          <w:szCs w:val="28"/>
          <w:shd w:val="clear" w:color="auto" w:fill="FFFFFF"/>
        </w:rPr>
        <w:t>对《湘西自治州财政局关于印发《湘西自治州州级预算部门整体支出绩效自评操作规程》（州财绩〔</w:t>
      </w:r>
      <w:r>
        <w:rPr>
          <w:rFonts w:ascii="Times New Roman" w:eastAsia="楷体_GB2312" w:hAnsi="Times New Roman"/>
          <w:bCs/>
          <w:color w:val="000000"/>
          <w:kern w:val="0"/>
          <w:sz w:val="28"/>
          <w:szCs w:val="28"/>
          <w:shd w:val="clear" w:color="auto" w:fill="FFFFFF"/>
        </w:rPr>
        <w:t>2021</w:t>
      </w:r>
      <w:r>
        <w:rPr>
          <w:rFonts w:ascii="Times New Roman" w:eastAsia="楷体_GB2312" w:hAnsi="Times New Roman"/>
          <w:bCs/>
          <w:color w:val="000000"/>
          <w:kern w:val="0"/>
          <w:sz w:val="28"/>
          <w:szCs w:val="28"/>
          <w:shd w:val="clear" w:color="auto" w:fill="FFFFFF"/>
        </w:rPr>
        <w:t>〕</w:t>
      </w:r>
      <w:r>
        <w:rPr>
          <w:rFonts w:ascii="Times New Roman" w:eastAsia="楷体_GB2312" w:hAnsi="Times New Roman"/>
          <w:bCs/>
          <w:color w:val="000000"/>
          <w:kern w:val="0"/>
          <w:sz w:val="28"/>
          <w:szCs w:val="28"/>
          <w:shd w:val="clear" w:color="auto" w:fill="FFFFFF"/>
        </w:rPr>
        <w:t>6</w:t>
      </w:r>
      <w:r>
        <w:rPr>
          <w:rFonts w:ascii="Times New Roman" w:eastAsia="楷体_GB2312" w:hAnsi="Times New Roman"/>
          <w:bCs/>
          <w:color w:val="000000"/>
          <w:kern w:val="0"/>
          <w:sz w:val="28"/>
          <w:szCs w:val="28"/>
          <w:shd w:val="clear" w:color="auto" w:fill="FFFFFF"/>
        </w:rPr>
        <w:t>号）的通知文件规定的考核指标，以下内容是从部门整体支出的绩效目标完成情况，实现产出和取得效益的情况、预算执行、预算资金管理情况、部门资产管理和情况，履职效能、社会效应、可持续发展能力和服务对象满意度等方面，对</w:t>
      </w:r>
      <w:r>
        <w:rPr>
          <w:rFonts w:ascii="Times New Roman" w:eastAsia="楷体_GB2312" w:hAnsi="Times New Roman"/>
          <w:bCs/>
          <w:color w:val="000000"/>
          <w:kern w:val="0"/>
          <w:sz w:val="28"/>
          <w:szCs w:val="28"/>
          <w:shd w:val="clear" w:color="auto" w:fill="FFFFFF"/>
        </w:rPr>
        <w:t>2020</w:t>
      </w:r>
      <w:r>
        <w:rPr>
          <w:rFonts w:ascii="Times New Roman" w:eastAsia="楷体_GB2312" w:hAnsi="Times New Roman"/>
          <w:bCs/>
          <w:color w:val="000000"/>
          <w:kern w:val="0"/>
          <w:sz w:val="28"/>
          <w:szCs w:val="28"/>
          <w:shd w:val="clear" w:color="auto" w:fill="FFFFFF"/>
        </w:rPr>
        <w:t>年部门整体支出绩效开展了评价，具体情况如下：</w:t>
      </w:r>
    </w:p>
    <w:p w:rsidR="0057447D" w:rsidRDefault="007A4AFA">
      <w:pPr>
        <w:widowControl/>
        <w:spacing w:line="600" w:lineRule="exact"/>
        <w:ind w:firstLine="562"/>
        <w:rPr>
          <w:rFonts w:ascii="Times New Roman" w:eastAsia="楷体_GB2312" w:hAnsi="Times New Roman"/>
          <w:b/>
          <w:color w:val="333333"/>
          <w:kern w:val="0"/>
          <w:sz w:val="28"/>
          <w:szCs w:val="28"/>
          <w:shd w:val="clear" w:color="auto" w:fill="FFFFFF"/>
        </w:rPr>
      </w:pPr>
      <w:r>
        <w:rPr>
          <w:rFonts w:ascii="Times New Roman" w:eastAsia="楷体_GB2312" w:hAnsi="Times New Roman"/>
          <w:b/>
          <w:color w:val="333333"/>
          <w:kern w:val="0"/>
          <w:sz w:val="28"/>
          <w:szCs w:val="28"/>
          <w:shd w:val="clear" w:color="auto" w:fill="FFFFFF"/>
        </w:rPr>
        <w:t>（一）部门整体绩效目标完成情况</w:t>
      </w:r>
    </w:p>
    <w:p w:rsidR="0057447D" w:rsidRDefault="007A4AFA">
      <w:pPr>
        <w:widowControl/>
        <w:spacing w:line="600" w:lineRule="exact"/>
        <w:ind w:firstLine="562"/>
        <w:rPr>
          <w:rFonts w:ascii="Times New Roman" w:eastAsia="楷体_GB2312" w:hAnsi="Times New Roman"/>
          <w:bCs/>
          <w:color w:val="333333"/>
          <w:kern w:val="0"/>
          <w:sz w:val="28"/>
          <w:szCs w:val="28"/>
          <w:shd w:val="clear" w:color="auto" w:fill="FFFFFF"/>
        </w:rPr>
      </w:pPr>
      <w:r>
        <w:rPr>
          <w:rFonts w:ascii="Times New Roman" w:eastAsia="楷体_GB2312" w:hAnsi="Times New Roman"/>
          <w:bCs/>
          <w:color w:val="333333"/>
          <w:kern w:val="0"/>
          <w:sz w:val="28"/>
          <w:szCs w:val="28"/>
          <w:shd w:val="clear" w:color="auto" w:fill="FFFFFF"/>
        </w:rPr>
        <w:t>截止</w:t>
      </w:r>
      <w:r>
        <w:rPr>
          <w:rFonts w:ascii="Times New Roman" w:eastAsia="楷体_GB2312" w:hAnsi="Times New Roman"/>
          <w:bCs/>
          <w:color w:val="333333"/>
          <w:kern w:val="0"/>
          <w:sz w:val="28"/>
          <w:szCs w:val="28"/>
          <w:shd w:val="clear" w:color="auto" w:fill="FFFFFF"/>
        </w:rPr>
        <w:t>2020</w:t>
      </w:r>
      <w:r>
        <w:rPr>
          <w:rFonts w:ascii="Times New Roman" w:eastAsia="楷体_GB2312" w:hAnsi="Times New Roman"/>
          <w:bCs/>
          <w:color w:val="333333"/>
          <w:kern w:val="0"/>
          <w:sz w:val="28"/>
          <w:szCs w:val="28"/>
          <w:shd w:val="clear" w:color="auto" w:fill="FFFFFF"/>
        </w:rPr>
        <w:t>年</w:t>
      </w:r>
      <w:r>
        <w:rPr>
          <w:rFonts w:ascii="Times New Roman" w:eastAsia="楷体_GB2312" w:hAnsi="Times New Roman"/>
          <w:bCs/>
          <w:color w:val="333333"/>
          <w:kern w:val="0"/>
          <w:sz w:val="28"/>
          <w:szCs w:val="28"/>
          <w:shd w:val="clear" w:color="auto" w:fill="FFFFFF"/>
        </w:rPr>
        <w:t>12</w:t>
      </w:r>
      <w:r>
        <w:rPr>
          <w:rFonts w:ascii="Times New Roman" w:eastAsia="楷体_GB2312" w:hAnsi="Times New Roman"/>
          <w:bCs/>
          <w:color w:val="333333"/>
          <w:kern w:val="0"/>
          <w:sz w:val="28"/>
          <w:szCs w:val="28"/>
          <w:shd w:val="clear" w:color="auto" w:fill="FFFFFF"/>
        </w:rPr>
        <w:t>月</w:t>
      </w:r>
      <w:r>
        <w:rPr>
          <w:rFonts w:ascii="Times New Roman" w:eastAsia="楷体_GB2312" w:hAnsi="Times New Roman"/>
          <w:bCs/>
          <w:color w:val="333333"/>
          <w:kern w:val="0"/>
          <w:sz w:val="28"/>
          <w:szCs w:val="28"/>
          <w:shd w:val="clear" w:color="auto" w:fill="FFFFFF"/>
        </w:rPr>
        <w:t>31</w:t>
      </w:r>
      <w:r>
        <w:rPr>
          <w:rFonts w:ascii="Times New Roman" w:eastAsia="楷体_GB2312" w:hAnsi="Times New Roman"/>
          <w:bCs/>
          <w:color w:val="333333"/>
          <w:kern w:val="0"/>
          <w:sz w:val="28"/>
          <w:szCs w:val="28"/>
          <w:shd w:val="clear" w:color="auto" w:fill="FFFFFF"/>
        </w:rPr>
        <w:t>日，本年年初设定的绩效目标基本完成。</w:t>
      </w:r>
    </w:p>
    <w:p w:rsidR="0057447D" w:rsidRDefault="007A4AFA">
      <w:pPr>
        <w:widowControl/>
        <w:numPr>
          <w:ilvl w:val="0"/>
          <w:numId w:val="7"/>
        </w:numPr>
        <w:spacing w:line="600" w:lineRule="exact"/>
        <w:ind w:firstLine="562"/>
        <w:rPr>
          <w:rFonts w:ascii="Times New Roman" w:eastAsia="楷体_GB2312" w:hAnsi="Times New Roman"/>
          <w:b/>
          <w:color w:val="333333"/>
          <w:kern w:val="0"/>
          <w:sz w:val="28"/>
          <w:szCs w:val="28"/>
          <w:shd w:val="clear" w:color="auto" w:fill="FFFFFF"/>
        </w:rPr>
      </w:pPr>
      <w:r>
        <w:rPr>
          <w:rFonts w:ascii="Times New Roman" w:eastAsia="楷体_GB2312" w:hAnsi="Times New Roman"/>
          <w:b/>
          <w:color w:val="333333"/>
          <w:kern w:val="0"/>
          <w:sz w:val="28"/>
          <w:szCs w:val="28"/>
          <w:shd w:val="clear" w:color="auto" w:fill="FFFFFF"/>
        </w:rPr>
        <w:t>预算执行情况</w:t>
      </w:r>
    </w:p>
    <w:p w:rsidR="0057447D" w:rsidRDefault="007A4AFA">
      <w:pPr>
        <w:widowControl/>
        <w:spacing w:line="600" w:lineRule="exact"/>
        <w:ind w:firstLine="562"/>
        <w:rPr>
          <w:rFonts w:ascii="Times New Roman" w:eastAsia="楷体_GB2312" w:hAnsi="Times New Roman"/>
          <w:bCs/>
          <w:color w:val="333333"/>
          <w:kern w:val="0"/>
          <w:sz w:val="28"/>
          <w:szCs w:val="28"/>
          <w:shd w:val="clear" w:color="auto" w:fill="FFFFFF"/>
        </w:rPr>
      </w:pPr>
      <w:r>
        <w:rPr>
          <w:rFonts w:ascii="Times New Roman" w:eastAsia="楷体_GB2312" w:hAnsi="Times New Roman"/>
          <w:bCs/>
          <w:color w:val="333333"/>
          <w:kern w:val="0"/>
          <w:sz w:val="28"/>
          <w:szCs w:val="28"/>
          <w:shd w:val="clear" w:color="auto" w:fill="FFFFFF"/>
        </w:rPr>
        <w:t>1.</w:t>
      </w:r>
      <w:r>
        <w:rPr>
          <w:rFonts w:ascii="Times New Roman" w:eastAsia="楷体_GB2312" w:hAnsi="Times New Roman"/>
          <w:bCs/>
          <w:color w:val="333333"/>
          <w:kern w:val="0"/>
          <w:sz w:val="28"/>
          <w:szCs w:val="28"/>
          <w:shd w:val="clear" w:color="auto" w:fill="FFFFFF"/>
        </w:rPr>
        <w:t>公用经费控制率：</w:t>
      </w:r>
      <w:r>
        <w:rPr>
          <w:rFonts w:ascii="Times New Roman" w:eastAsia="楷体_GB2312" w:hAnsi="Times New Roman"/>
          <w:bCs/>
          <w:color w:val="333333"/>
          <w:kern w:val="0"/>
          <w:sz w:val="28"/>
          <w:szCs w:val="28"/>
          <w:shd w:val="clear" w:color="auto" w:fill="FFFFFF"/>
        </w:rPr>
        <w:t>2020</w:t>
      </w:r>
      <w:r>
        <w:rPr>
          <w:rFonts w:ascii="Times New Roman" w:eastAsia="楷体_GB2312" w:hAnsi="Times New Roman"/>
          <w:bCs/>
          <w:color w:val="333333"/>
          <w:kern w:val="0"/>
          <w:sz w:val="28"/>
          <w:szCs w:val="28"/>
          <w:shd w:val="clear" w:color="auto" w:fill="FFFFFF"/>
        </w:rPr>
        <w:t>年我局预算管理各项指标控制较好。公用经费年初预算金额为</w:t>
      </w:r>
      <w:r>
        <w:rPr>
          <w:rFonts w:ascii="Times New Roman" w:eastAsia="楷体_GB2312" w:hAnsi="Times New Roman"/>
          <w:bCs/>
          <w:color w:val="333333"/>
          <w:kern w:val="0"/>
          <w:sz w:val="28"/>
          <w:szCs w:val="28"/>
          <w:shd w:val="clear" w:color="auto" w:fill="FFFFFF"/>
        </w:rPr>
        <w:t>116.42</w:t>
      </w:r>
      <w:r>
        <w:rPr>
          <w:rFonts w:ascii="Times New Roman" w:eastAsia="楷体_GB2312" w:hAnsi="Times New Roman"/>
          <w:bCs/>
          <w:color w:val="333333"/>
          <w:kern w:val="0"/>
          <w:sz w:val="28"/>
          <w:szCs w:val="28"/>
          <w:shd w:val="clear" w:color="auto" w:fill="FFFFFF"/>
        </w:rPr>
        <w:t>万元，调整后预算金额</w:t>
      </w:r>
      <w:r>
        <w:rPr>
          <w:rFonts w:ascii="Times New Roman" w:eastAsia="楷体_GB2312" w:hAnsi="Times New Roman"/>
          <w:bCs/>
          <w:color w:val="333333"/>
          <w:kern w:val="0"/>
          <w:sz w:val="28"/>
          <w:szCs w:val="28"/>
          <w:shd w:val="clear" w:color="auto" w:fill="FFFFFF"/>
        </w:rPr>
        <w:t>28.18</w:t>
      </w:r>
      <w:r>
        <w:rPr>
          <w:rFonts w:ascii="Times New Roman" w:eastAsia="楷体_GB2312" w:hAnsi="Times New Roman"/>
          <w:bCs/>
          <w:color w:val="333333"/>
          <w:kern w:val="0"/>
          <w:sz w:val="28"/>
          <w:szCs w:val="28"/>
          <w:shd w:val="clear" w:color="auto" w:fill="FFFFFF"/>
        </w:rPr>
        <w:t>万元，实际支出公用经费总额</w:t>
      </w:r>
      <w:r>
        <w:rPr>
          <w:rFonts w:ascii="Times New Roman" w:eastAsia="楷体_GB2312" w:hAnsi="Times New Roman"/>
          <w:bCs/>
          <w:color w:val="333333"/>
          <w:kern w:val="0"/>
          <w:sz w:val="28"/>
          <w:szCs w:val="28"/>
          <w:shd w:val="clear" w:color="auto" w:fill="FFFFFF"/>
        </w:rPr>
        <w:t>28.18</w:t>
      </w:r>
      <w:r>
        <w:rPr>
          <w:rFonts w:ascii="Times New Roman" w:eastAsia="楷体_GB2312" w:hAnsi="Times New Roman"/>
          <w:bCs/>
          <w:color w:val="333333"/>
          <w:kern w:val="0"/>
          <w:sz w:val="28"/>
          <w:szCs w:val="28"/>
          <w:shd w:val="clear" w:color="auto" w:fill="FFFFFF"/>
        </w:rPr>
        <w:t>万元，公用经费控制率</w:t>
      </w:r>
      <w:r>
        <w:rPr>
          <w:rFonts w:ascii="Times New Roman" w:eastAsia="楷体_GB2312" w:hAnsi="Times New Roman"/>
          <w:bCs/>
          <w:color w:val="333333"/>
          <w:kern w:val="0"/>
          <w:sz w:val="28"/>
          <w:szCs w:val="28"/>
          <w:shd w:val="clear" w:color="auto" w:fill="FFFFFF"/>
        </w:rPr>
        <w:t>100%</w:t>
      </w:r>
      <w:r>
        <w:rPr>
          <w:rFonts w:ascii="Times New Roman" w:eastAsia="楷体_GB2312" w:hAnsi="Times New Roman"/>
          <w:bCs/>
          <w:color w:val="333333"/>
          <w:kern w:val="0"/>
          <w:sz w:val="28"/>
          <w:szCs w:val="28"/>
          <w:shd w:val="clear" w:color="auto" w:fill="FFFFFF"/>
        </w:rPr>
        <w:t>。</w:t>
      </w:r>
    </w:p>
    <w:p w:rsidR="0057447D" w:rsidRDefault="007A4AFA">
      <w:pPr>
        <w:widowControl/>
        <w:spacing w:line="600" w:lineRule="exact"/>
        <w:ind w:firstLine="562"/>
        <w:rPr>
          <w:rFonts w:ascii="Times New Roman" w:eastAsia="楷体_GB2312" w:hAnsi="Times New Roman"/>
          <w:bCs/>
          <w:color w:val="333333"/>
          <w:kern w:val="0"/>
          <w:sz w:val="28"/>
          <w:szCs w:val="28"/>
          <w:shd w:val="clear" w:color="auto" w:fill="FFFFFF"/>
        </w:rPr>
      </w:pPr>
      <w:r>
        <w:rPr>
          <w:rFonts w:ascii="Times New Roman" w:eastAsia="楷体_GB2312" w:hAnsi="Times New Roman"/>
          <w:bCs/>
          <w:color w:val="333333"/>
          <w:kern w:val="0"/>
          <w:sz w:val="28"/>
          <w:szCs w:val="28"/>
          <w:shd w:val="clear" w:color="auto" w:fill="FFFFFF"/>
        </w:rPr>
        <w:t>2.“</w:t>
      </w:r>
      <w:r>
        <w:rPr>
          <w:rFonts w:ascii="Times New Roman" w:eastAsia="楷体_GB2312" w:hAnsi="Times New Roman"/>
          <w:bCs/>
          <w:color w:val="333333"/>
          <w:kern w:val="0"/>
          <w:sz w:val="28"/>
          <w:szCs w:val="28"/>
          <w:shd w:val="clear" w:color="auto" w:fill="FFFFFF"/>
        </w:rPr>
        <w:t>三公经费</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控制率：</w:t>
      </w:r>
      <w:r>
        <w:rPr>
          <w:rFonts w:ascii="Times New Roman" w:eastAsia="楷体_GB2312" w:hAnsi="Times New Roman"/>
          <w:bCs/>
          <w:color w:val="333333"/>
          <w:kern w:val="0"/>
          <w:sz w:val="28"/>
          <w:szCs w:val="28"/>
          <w:shd w:val="clear" w:color="auto" w:fill="FFFFFF"/>
        </w:rPr>
        <w:t>2020</w:t>
      </w:r>
      <w:r>
        <w:rPr>
          <w:rFonts w:ascii="Times New Roman" w:eastAsia="楷体_GB2312" w:hAnsi="Times New Roman"/>
          <w:bCs/>
          <w:color w:val="333333"/>
          <w:kern w:val="0"/>
          <w:sz w:val="28"/>
          <w:szCs w:val="28"/>
          <w:shd w:val="clear" w:color="auto" w:fill="FFFFFF"/>
        </w:rPr>
        <w:t>年</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三公经费</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预算安排数</w:t>
      </w:r>
      <w:r>
        <w:rPr>
          <w:rFonts w:ascii="Times New Roman" w:eastAsia="楷体_GB2312" w:hAnsi="Times New Roman"/>
          <w:bCs/>
          <w:color w:val="333333"/>
          <w:kern w:val="0"/>
          <w:sz w:val="28"/>
          <w:szCs w:val="28"/>
          <w:shd w:val="clear" w:color="auto" w:fill="FFFFFF"/>
        </w:rPr>
        <w:t>34</w:t>
      </w:r>
      <w:r>
        <w:rPr>
          <w:rFonts w:ascii="Times New Roman" w:eastAsia="楷体_GB2312" w:hAnsi="Times New Roman"/>
          <w:bCs/>
          <w:color w:val="333333"/>
          <w:kern w:val="0"/>
          <w:sz w:val="28"/>
          <w:szCs w:val="28"/>
          <w:shd w:val="clear" w:color="auto" w:fill="FFFFFF"/>
        </w:rPr>
        <w:t>万元，其中：公务用车运行维护费</w:t>
      </w:r>
      <w:r>
        <w:rPr>
          <w:rFonts w:ascii="Times New Roman" w:eastAsia="楷体_GB2312" w:hAnsi="Times New Roman"/>
          <w:bCs/>
          <w:color w:val="333333"/>
          <w:kern w:val="0"/>
          <w:sz w:val="28"/>
          <w:szCs w:val="28"/>
          <w:shd w:val="clear" w:color="auto" w:fill="FFFFFF"/>
        </w:rPr>
        <w:t>17</w:t>
      </w:r>
      <w:r>
        <w:rPr>
          <w:rFonts w:ascii="Times New Roman" w:eastAsia="楷体_GB2312" w:hAnsi="Times New Roman"/>
          <w:bCs/>
          <w:color w:val="333333"/>
          <w:kern w:val="0"/>
          <w:sz w:val="28"/>
          <w:szCs w:val="28"/>
          <w:shd w:val="clear" w:color="auto" w:fill="FFFFFF"/>
        </w:rPr>
        <w:t>万元、公务接待费</w:t>
      </w:r>
      <w:r>
        <w:rPr>
          <w:rFonts w:ascii="Times New Roman" w:eastAsia="楷体_GB2312" w:hAnsi="Times New Roman"/>
          <w:bCs/>
          <w:color w:val="333333"/>
          <w:kern w:val="0"/>
          <w:sz w:val="28"/>
          <w:szCs w:val="28"/>
          <w:shd w:val="clear" w:color="auto" w:fill="FFFFFF"/>
        </w:rPr>
        <w:t>17</w:t>
      </w:r>
      <w:r>
        <w:rPr>
          <w:rFonts w:ascii="Times New Roman" w:eastAsia="楷体_GB2312" w:hAnsi="Times New Roman"/>
          <w:bCs/>
          <w:color w:val="333333"/>
          <w:kern w:val="0"/>
          <w:sz w:val="28"/>
          <w:szCs w:val="28"/>
          <w:shd w:val="clear" w:color="auto" w:fill="FFFFFF"/>
        </w:rPr>
        <w:t>万元。实际支出数为</w:t>
      </w:r>
      <w:r>
        <w:rPr>
          <w:rFonts w:ascii="Times New Roman" w:eastAsia="楷体_GB2312" w:hAnsi="Times New Roman"/>
          <w:bCs/>
          <w:color w:val="333333"/>
          <w:kern w:val="0"/>
          <w:sz w:val="28"/>
          <w:szCs w:val="28"/>
          <w:shd w:val="clear" w:color="auto" w:fill="FFFFFF"/>
        </w:rPr>
        <w:t xml:space="preserve">5.55 </w:t>
      </w:r>
      <w:r>
        <w:rPr>
          <w:rFonts w:ascii="Times New Roman" w:eastAsia="楷体_GB2312" w:hAnsi="Times New Roman"/>
          <w:bCs/>
          <w:color w:val="333333"/>
          <w:kern w:val="0"/>
          <w:sz w:val="28"/>
          <w:szCs w:val="28"/>
          <w:shd w:val="clear" w:color="auto" w:fill="FFFFFF"/>
        </w:rPr>
        <w:t>万元，其中：公务用车运行维护费</w:t>
      </w:r>
      <w:r>
        <w:rPr>
          <w:rFonts w:ascii="Times New Roman" w:eastAsia="楷体_GB2312" w:hAnsi="Times New Roman"/>
          <w:bCs/>
          <w:color w:val="333333"/>
          <w:kern w:val="0"/>
          <w:sz w:val="28"/>
          <w:szCs w:val="28"/>
          <w:shd w:val="clear" w:color="auto" w:fill="FFFFFF"/>
        </w:rPr>
        <w:t>4.73</w:t>
      </w:r>
      <w:r>
        <w:rPr>
          <w:rFonts w:ascii="Times New Roman" w:eastAsia="楷体_GB2312" w:hAnsi="Times New Roman"/>
          <w:bCs/>
          <w:color w:val="333333"/>
          <w:kern w:val="0"/>
          <w:sz w:val="28"/>
          <w:szCs w:val="28"/>
          <w:shd w:val="clear" w:color="auto" w:fill="FFFFFF"/>
        </w:rPr>
        <w:t>万元、公务接待费</w:t>
      </w:r>
      <w:r>
        <w:rPr>
          <w:rFonts w:ascii="Times New Roman" w:eastAsia="楷体_GB2312" w:hAnsi="Times New Roman"/>
          <w:bCs/>
          <w:color w:val="333333"/>
          <w:kern w:val="0"/>
          <w:sz w:val="28"/>
          <w:szCs w:val="28"/>
          <w:shd w:val="clear" w:color="auto" w:fill="FFFFFF"/>
        </w:rPr>
        <w:t>0.82</w:t>
      </w:r>
      <w:r>
        <w:rPr>
          <w:rFonts w:ascii="Times New Roman" w:eastAsia="楷体_GB2312" w:hAnsi="Times New Roman"/>
          <w:bCs/>
          <w:color w:val="333333"/>
          <w:kern w:val="0"/>
          <w:sz w:val="28"/>
          <w:szCs w:val="28"/>
          <w:shd w:val="clear" w:color="auto" w:fill="FFFFFF"/>
        </w:rPr>
        <w:t>万元，</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三公经费</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控制率为</w:t>
      </w:r>
      <w:r>
        <w:rPr>
          <w:rFonts w:ascii="Times New Roman" w:eastAsia="楷体_GB2312" w:hAnsi="Times New Roman"/>
          <w:bCs/>
          <w:color w:val="333333"/>
          <w:kern w:val="0"/>
          <w:sz w:val="28"/>
          <w:szCs w:val="28"/>
          <w:shd w:val="clear" w:color="auto" w:fill="FFFFFF"/>
        </w:rPr>
        <w:t>16.32%</w:t>
      </w:r>
      <w:r>
        <w:rPr>
          <w:rFonts w:ascii="Times New Roman" w:eastAsia="楷体_GB2312" w:hAnsi="Times New Roman"/>
          <w:bCs/>
          <w:color w:val="333333"/>
          <w:kern w:val="0"/>
          <w:sz w:val="28"/>
          <w:szCs w:val="28"/>
          <w:shd w:val="clear" w:color="auto" w:fill="FFFFFF"/>
        </w:rPr>
        <w:t>。</w:t>
      </w:r>
    </w:p>
    <w:p w:rsidR="0057447D" w:rsidRDefault="007A4AFA">
      <w:pPr>
        <w:widowControl/>
        <w:spacing w:line="600" w:lineRule="exact"/>
        <w:ind w:firstLineChars="100" w:firstLine="280"/>
        <w:rPr>
          <w:rFonts w:ascii="Times New Roman" w:eastAsia="楷体_GB2312" w:hAnsi="Times New Roman"/>
          <w:bCs/>
          <w:color w:val="333333"/>
          <w:kern w:val="0"/>
          <w:sz w:val="28"/>
          <w:szCs w:val="28"/>
          <w:shd w:val="clear" w:color="auto" w:fill="FFFFFF"/>
        </w:rPr>
      </w:pPr>
      <w:r>
        <w:rPr>
          <w:rFonts w:ascii="Times New Roman" w:eastAsia="楷体_GB2312" w:hAnsi="Times New Roman"/>
          <w:bCs/>
          <w:color w:val="333333"/>
          <w:kern w:val="0"/>
          <w:sz w:val="28"/>
          <w:szCs w:val="28"/>
          <w:shd w:val="clear" w:color="auto" w:fill="FFFFFF"/>
        </w:rPr>
        <w:lastRenderedPageBreak/>
        <w:t xml:space="preserve"> 3.</w:t>
      </w:r>
      <w:r>
        <w:rPr>
          <w:rFonts w:ascii="Times New Roman" w:eastAsia="楷体_GB2312" w:hAnsi="Times New Roman"/>
          <w:bCs/>
          <w:color w:val="333333"/>
          <w:kern w:val="0"/>
          <w:sz w:val="28"/>
          <w:szCs w:val="28"/>
          <w:shd w:val="clear" w:color="auto" w:fill="FFFFFF"/>
        </w:rPr>
        <w:t>政府采购</w:t>
      </w:r>
      <w:r>
        <w:rPr>
          <w:rFonts w:ascii="Times New Roman" w:eastAsia="楷体_GB2312" w:hAnsi="Times New Roman"/>
          <w:bCs/>
          <w:color w:val="333333"/>
          <w:spacing w:val="-6"/>
          <w:kern w:val="0"/>
          <w:sz w:val="28"/>
          <w:szCs w:val="28"/>
          <w:shd w:val="clear" w:color="auto" w:fill="FFFFFF"/>
        </w:rPr>
        <w:t>执行率：</w:t>
      </w:r>
      <w:r>
        <w:rPr>
          <w:rFonts w:ascii="Times New Roman" w:eastAsia="楷体_GB2312" w:hAnsi="Times New Roman"/>
          <w:bCs/>
          <w:color w:val="333333"/>
          <w:spacing w:val="-6"/>
          <w:kern w:val="0"/>
          <w:sz w:val="28"/>
          <w:szCs w:val="28"/>
          <w:shd w:val="clear" w:color="auto" w:fill="FFFFFF"/>
          <w:lang w:val="zh-CN"/>
        </w:rPr>
        <w:t>2020</w:t>
      </w:r>
      <w:r>
        <w:rPr>
          <w:rFonts w:ascii="Times New Roman" w:eastAsia="楷体_GB2312" w:hAnsi="Times New Roman"/>
          <w:bCs/>
          <w:color w:val="333333"/>
          <w:spacing w:val="-6"/>
          <w:kern w:val="0"/>
          <w:sz w:val="28"/>
          <w:szCs w:val="28"/>
          <w:shd w:val="clear" w:color="auto" w:fill="FFFFFF"/>
          <w:lang w:val="zh-CN"/>
        </w:rPr>
        <w:t>年预算安排政府采购支出</w:t>
      </w:r>
      <w:r>
        <w:rPr>
          <w:rFonts w:ascii="Times New Roman" w:eastAsia="楷体_GB2312" w:hAnsi="Times New Roman"/>
          <w:bCs/>
          <w:color w:val="333333"/>
          <w:spacing w:val="-6"/>
          <w:kern w:val="0"/>
          <w:sz w:val="28"/>
          <w:szCs w:val="28"/>
          <w:shd w:val="clear" w:color="auto" w:fill="FFFFFF"/>
          <w:lang w:val="zh-CN"/>
        </w:rPr>
        <w:t>12.2</w:t>
      </w:r>
      <w:r>
        <w:rPr>
          <w:rFonts w:ascii="Times New Roman" w:eastAsia="楷体_GB2312" w:hAnsi="Times New Roman"/>
          <w:bCs/>
          <w:color w:val="333333"/>
          <w:spacing w:val="-6"/>
          <w:kern w:val="0"/>
          <w:sz w:val="28"/>
          <w:szCs w:val="28"/>
          <w:shd w:val="clear" w:color="auto" w:fill="FFFFFF"/>
          <w:lang w:val="zh-CN"/>
        </w:rPr>
        <w:t>万元。采购项目为：车辆维修和保养服务，计算机设备及软件，沙发、桌椅类，办公设备及耗材等。</w:t>
      </w:r>
      <w:r>
        <w:rPr>
          <w:rFonts w:ascii="Times New Roman" w:eastAsia="楷体_GB2312" w:hAnsi="Times New Roman"/>
          <w:bCs/>
          <w:color w:val="333333"/>
          <w:spacing w:val="-6"/>
          <w:kern w:val="0"/>
          <w:sz w:val="28"/>
          <w:szCs w:val="28"/>
          <w:shd w:val="clear" w:color="auto" w:fill="FFFFFF"/>
        </w:rPr>
        <w:t>实际政府采购金额</w:t>
      </w:r>
      <w:r>
        <w:rPr>
          <w:rFonts w:ascii="Times New Roman" w:eastAsia="楷体_GB2312" w:hAnsi="Times New Roman"/>
          <w:bCs/>
          <w:color w:val="333333"/>
          <w:kern w:val="0"/>
          <w:sz w:val="28"/>
          <w:szCs w:val="28"/>
          <w:shd w:val="clear" w:color="auto" w:fill="FFFFFF"/>
        </w:rPr>
        <w:t>4.58</w:t>
      </w:r>
      <w:r>
        <w:rPr>
          <w:rFonts w:ascii="Times New Roman" w:eastAsia="楷体_GB2312" w:hAnsi="Times New Roman"/>
          <w:bCs/>
          <w:color w:val="333333"/>
          <w:kern w:val="0"/>
          <w:sz w:val="28"/>
          <w:szCs w:val="28"/>
          <w:shd w:val="clear" w:color="auto" w:fill="FFFFFF"/>
        </w:rPr>
        <w:t>万元，政府采购执行率</w:t>
      </w:r>
      <w:r>
        <w:rPr>
          <w:rFonts w:ascii="Times New Roman" w:eastAsia="楷体_GB2312" w:hAnsi="Times New Roman"/>
          <w:bCs/>
          <w:color w:val="333333"/>
          <w:kern w:val="0"/>
          <w:sz w:val="28"/>
          <w:szCs w:val="28"/>
          <w:shd w:val="clear" w:color="auto" w:fill="FFFFFF"/>
        </w:rPr>
        <w:t>7.13%</w:t>
      </w:r>
      <w:r>
        <w:rPr>
          <w:rFonts w:ascii="Times New Roman" w:eastAsia="楷体_GB2312" w:hAnsi="Times New Roman"/>
          <w:bCs/>
          <w:color w:val="333333"/>
          <w:kern w:val="0"/>
          <w:sz w:val="28"/>
          <w:szCs w:val="28"/>
          <w:shd w:val="clear" w:color="auto" w:fill="FFFFFF"/>
        </w:rPr>
        <w:t>。</w:t>
      </w:r>
    </w:p>
    <w:p w:rsidR="0057447D" w:rsidRDefault="007A4AFA">
      <w:pPr>
        <w:widowControl/>
        <w:spacing w:line="600" w:lineRule="exact"/>
        <w:ind w:firstLineChars="100" w:firstLine="280"/>
        <w:rPr>
          <w:rFonts w:ascii="Times New Roman" w:eastAsia="楷体_GB2312" w:hAnsi="Times New Roman"/>
          <w:bCs/>
          <w:color w:val="333333"/>
          <w:kern w:val="0"/>
          <w:sz w:val="28"/>
          <w:szCs w:val="28"/>
          <w:shd w:val="clear" w:color="auto" w:fill="FFFFFF"/>
        </w:rPr>
      </w:pPr>
      <w:r>
        <w:rPr>
          <w:rFonts w:ascii="Times New Roman" w:eastAsia="楷体_GB2312" w:hAnsi="Times New Roman"/>
          <w:bCs/>
          <w:color w:val="333333"/>
          <w:kern w:val="0"/>
          <w:sz w:val="28"/>
          <w:szCs w:val="28"/>
          <w:shd w:val="clear" w:color="auto" w:fill="FFFFFF"/>
        </w:rPr>
        <w:t xml:space="preserve"> 4</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2020</w:t>
      </w:r>
      <w:r>
        <w:rPr>
          <w:rFonts w:ascii="Times New Roman" w:eastAsia="楷体_GB2312" w:hAnsi="Times New Roman"/>
          <w:bCs/>
          <w:color w:val="333333"/>
          <w:kern w:val="0"/>
          <w:sz w:val="28"/>
          <w:szCs w:val="28"/>
          <w:shd w:val="clear" w:color="auto" w:fill="FFFFFF"/>
        </w:rPr>
        <w:t>年无新建的楼堂馆所。</w:t>
      </w:r>
    </w:p>
    <w:p w:rsidR="0057447D" w:rsidRDefault="007A4AFA">
      <w:pPr>
        <w:widowControl/>
        <w:spacing w:line="600" w:lineRule="exact"/>
        <w:ind w:left="562"/>
        <w:rPr>
          <w:rFonts w:ascii="Times New Roman" w:eastAsia="楷体_GB2312" w:hAnsi="Times New Roman"/>
          <w:b/>
          <w:color w:val="333333"/>
          <w:kern w:val="0"/>
          <w:sz w:val="28"/>
          <w:szCs w:val="28"/>
          <w:shd w:val="clear" w:color="auto" w:fill="FFFFFF"/>
        </w:rPr>
      </w:pPr>
      <w:r>
        <w:rPr>
          <w:rFonts w:ascii="Times New Roman" w:eastAsia="楷体_GB2312" w:hAnsi="Times New Roman"/>
          <w:b/>
          <w:color w:val="333333"/>
          <w:kern w:val="0"/>
          <w:sz w:val="28"/>
          <w:szCs w:val="28"/>
          <w:shd w:val="clear" w:color="auto" w:fill="FFFFFF"/>
        </w:rPr>
        <w:t>（三）预算管理情况</w:t>
      </w:r>
    </w:p>
    <w:p w:rsidR="0057447D" w:rsidRDefault="007A4AFA">
      <w:pPr>
        <w:widowControl/>
        <w:spacing w:line="600" w:lineRule="exact"/>
        <w:ind w:firstLineChars="200" w:firstLine="560"/>
        <w:rPr>
          <w:rFonts w:ascii="Times New Roman" w:eastAsia="楷体_GB2312" w:hAnsi="Times New Roman"/>
          <w:bCs/>
          <w:color w:val="333333"/>
          <w:kern w:val="0"/>
          <w:sz w:val="28"/>
          <w:szCs w:val="28"/>
          <w:shd w:val="clear" w:color="auto" w:fill="FFFFFF"/>
        </w:rPr>
      </w:pPr>
      <w:r>
        <w:rPr>
          <w:rFonts w:ascii="Times New Roman" w:eastAsia="楷体_GB2312" w:hAnsi="Times New Roman"/>
          <w:bCs/>
          <w:color w:val="333333"/>
          <w:kern w:val="0"/>
          <w:sz w:val="28"/>
          <w:szCs w:val="28"/>
          <w:shd w:val="clear" w:color="auto" w:fill="FFFFFF"/>
        </w:rPr>
        <w:t>1</w:t>
      </w:r>
      <w:r>
        <w:rPr>
          <w:rFonts w:ascii="Times New Roman" w:eastAsia="楷体_GB2312" w:hAnsi="Times New Roman"/>
          <w:bCs/>
          <w:color w:val="333333"/>
          <w:kern w:val="0"/>
          <w:sz w:val="28"/>
          <w:szCs w:val="28"/>
          <w:shd w:val="clear" w:color="auto" w:fill="FFFFFF"/>
        </w:rPr>
        <w:t>、管理制度的健全性：单位已制定了预算资金管理办法，内部财务管理制度、会计核算制度等管理制度，且相关管理制度合法、合规、且完整，单位相关管理制度得到了有效执行。同时严格按《湘西自治州党政机关国内公务接待管理办法》、《湘西自治州州直机关差旅费管理办法》、《湘西自治州州直机关会议费管理办法》、《湘西自治州州直机关培训费管理办法》等规定加强对会议费、培训费、差旅费、公务接待费、公务用车运行维护费、出国（境）费等专项经费的管理，确保我局各项经济活动合法、合规、有序开展。</w:t>
      </w:r>
    </w:p>
    <w:p w:rsidR="0057447D" w:rsidRDefault="007A4AFA">
      <w:pPr>
        <w:widowControl/>
        <w:spacing w:line="600" w:lineRule="exact"/>
        <w:ind w:firstLine="562"/>
        <w:rPr>
          <w:rFonts w:ascii="Times New Roman" w:eastAsia="楷体_GB2312" w:hAnsi="Times New Roman"/>
          <w:bCs/>
          <w:color w:val="333333"/>
          <w:kern w:val="0"/>
          <w:sz w:val="28"/>
          <w:szCs w:val="28"/>
          <w:shd w:val="clear" w:color="auto" w:fill="FFFFFF"/>
        </w:rPr>
      </w:pPr>
      <w:r>
        <w:rPr>
          <w:rFonts w:ascii="Times New Roman" w:eastAsia="楷体_GB2312" w:hAnsi="Times New Roman"/>
          <w:bCs/>
          <w:color w:val="333333"/>
          <w:kern w:val="0"/>
          <w:sz w:val="28"/>
          <w:szCs w:val="28"/>
          <w:shd w:val="clear" w:color="auto" w:fill="FFFFFF"/>
        </w:rPr>
        <w:t>2</w:t>
      </w:r>
      <w:r>
        <w:rPr>
          <w:rFonts w:ascii="Times New Roman" w:eastAsia="楷体_GB2312" w:hAnsi="Times New Roman"/>
          <w:bCs/>
          <w:color w:val="333333"/>
          <w:kern w:val="0"/>
          <w:sz w:val="28"/>
          <w:szCs w:val="28"/>
          <w:shd w:val="clear" w:color="auto" w:fill="FFFFFF"/>
        </w:rPr>
        <w:t>、资金使用合规性：单位支出符合国家财经法规和财务管理制度规定以及有关专项资金管理办法的规定；资金拨付有完整的审批程序和手续；支出符合部门预算批复的用途；资金使用无截留、挤占、挪用、虚列支出等情况。各项资金使用时严格执行国家财经法规和财务管理制度，资金拨付有完整的审批程序，经费使用前根据部门预算批复的用途，履行事前审批程序。经费拨付时，对于未履行事前审批程序的、事前审批程序不完整的、与审批支出事项不一致的，不予报销；对于超范围、超标准开支的，超过部分不予报销；对于未提供合法、有效票据的，或票据不完善的不予报销；对于无预算或超预算的、报销程序不完善的不予报销。</w:t>
      </w:r>
    </w:p>
    <w:p w:rsidR="0057447D" w:rsidRDefault="007A4AFA">
      <w:pPr>
        <w:widowControl/>
        <w:spacing w:line="600" w:lineRule="exact"/>
        <w:ind w:firstLine="562"/>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lastRenderedPageBreak/>
        <w:t>3</w:t>
      </w:r>
      <w:r>
        <w:rPr>
          <w:rFonts w:ascii="Times New Roman" w:eastAsia="楷体" w:hAnsi="Times New Roman"/>
          <w:bCs/>
          <w:color w:val="333333"/>
          <w:kern w:val="0"/>
          <w:sz w:val="28"/>
          <w:szCs w:val="28"/>
          <w:shd w:val="clear" w:color="auto" w:fill="FFFFFF"/>
        </w:rPr>
        <w:t>、预决算信息公开性和完善性：本单位按规定内容公开预决算信息；按规定时限公开预决算信息；基础数据信息和会计信息资料真实、完整、准确。</w:t>
      </w:r>
    </w:p>
    <w:p w:rsidR="0057447D" w:rsidRDefault="007A4AFA">
      <w:pPr>
        <w:widowControl/>
        <w:spacing w:line="600" w:lineRule="exact"/>
        <w:ind w:firstLine="562"/>
        <w:rPr>
          <w:rFonts w:ascii="Times New Roman" w:eastAsia="楷体" w:hAnsi="Times New Roman"/>
          <w:b/>
          <w:color w:val="333333"/>
          <w:kern w:val="0"/>
          <w:sz w:val="28"/>
          <w:szCs w:val="28"/>
          <w:shd w:val="clear" w:color="auto" w:fill="FFFFFF"/>
        </w:rPr>
      </w:pPr>
      <w:r>
        <w:rPr>
          <w:rFonts w:ascii="Times New Roman" w:eastAsia="楷体" w:hAnsi="Times New Roman"/>
          <w:b/>
          <w:color w:val="333333"/>
          <w:kern w:val="0"/>
          <w:sz w:val="28"/>
          <w:szCs w:val="28"/>
          <w:shd w:val="clear" w:color="auto" w:fill="FFFFFF"/>
        </w:rPr>
        <w:t>（四）资产管理情况</w:t>
      </w:r>
    </w:p>
    <w:p w:rsidR="0057447D" w:rsidRDefault="007A4AFA">
      <w:pPr>
        <w:widowControl/>
        <w:spacing w:line="600" w:lineRule="exact"/>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截止</w:t>
      </w:r>
      <w:r>
        <w:rPr>
          <w:rFonts w:ascii="Times New Roman" w:eastAsia="楷体" w:hAnsi="Times New Roman"/>
          <w:bCs/>
          <w:color w:val="333333"/>
          <w:kern w:val="0"/>
          <w:sz w:val="28"/>
          <w:szCs w:val="28"/>
          <w:shd w:val="clear" w:color="auto" w:fill="FFFFFF"/>
        </w:rPr>
        <w:t>2020</w:t>
      </w:r>
      <w:r>
        <w:rPr>
          <w:rFonts w:ascii="Times New Roman" w:eastAsia="楷体" w:hAnsi="Times New Roman"/>
          <w:bCs/>
          <w:color w:val="333333"/>
          <w:kern w:val="0"/>
          <w:sz w:val="28"/>
          <w:szCs w:val="28"/>
          <w:shd w:val="clear" w:color="auto" w:fill="FFFFFF"/>
        </w:rPr>
        <w:t>年末单位固定资产原值</w:t>
      </w:r>
      <w:r>
        <w:rPr>
          <w:rFonts w:ascii="Times New Roman" w:eastAsia="楷体" w:hAnsi="Times New Roman"/>
          <w:bCs/>
          <w:color w:val="333333"/>
          <w:kern w:val="0"/>
          <w:sz w:val="28"/>
          <w:szCs w:val="28"/>
          <w:shd w:val="clear" w:color="auto" w:fill="FFFFFF"/>
        </w:rPr>
        <w:t>888,475.97</w:t>
      </w:r>
      <w:r>
        <w:rPr>
          <w:rFonts w:ascii="Times New Roman" w:eastAsia="楷体" w:hAnsi="Times New Roman"/>
          <w:bCs/>
          <w:color w:val="333333"/>
          <w:kern w:val="0"/>
          <w:sz w:val="28"/>
          <w:szCs w:val="28"/>
          <w:shd w:val="clear" w:color="auto" w:fill="FFFFFF"/>
        </w:rPr>
        <w:t>元（其中：家具用具</w:t>
      </w:r>
      <w:r>
        <w:rPr>
          <w:rFonts w:ascii="Times New Roman" w:eastAsia="楷体" w:hAnsi="Times New Roman"/>
          <w:bCs/>
          <w:color w:val="333333"/>
          <w:kern w:val="0"/>
          <w:sz w:val="28"/>
          <w:szCs w:val="28"/>
          <w:shd w:val="clear" w:color="auto" w:fill="FFFFFF"/>
        </w:rPr>
        <w:t>179,140.00</w:t>
      </w:r>
      <w:r>
        <w:rPr>
          <w:rFonts w:ascii="Times New Roman" w:eastAsia="楷体" w:hAnsi="Times New Roman"/>
          <w:bCs/>
          <w:color w:val="333333"/>
          <w:kern w:val="0"/>
          <w:sz w:val="28"/>
          <w:szCs w:val="28"/>
          <w:shd w:val="clear" w:color="auto" w:fill="FFFFFF"/>
        </w:rPr>
        <w:t>元、数量</w:t>
      </w:r>
      <w:r>
        <w:rPr>
          <w:rFonts w:ascii="Times New Roman" w:eastAsia="楷体" w:hAnsi="Times New Roman"/>
          <w:bCs/>
          <w:color w:val="333333"/>
          <w:kern w:val="0"/>
          <w:sz w:val="28"/>
          <w:szCs w:val="28"/>
          <w:shd w:val="clear" w:color="auto" w:fill="FFFFFF"/>
        </w:rPr>
        <w:t>210</w:t>
      </w:r>
      <w:r>
        <w:rPr>
          <w:rFonts w:ascii="Times New Roman" w:eastAsia="楷体" w:hAnsi="Times New Roman"/>
          <w:bCs/>
          <w:color w:val="333333"/>
          <w:kern w:val="0"/>
          <w:sz w:val="28"/>
          <w:szCs w:val="28"/>
          <w:shd w:val="clear" w:color="auto" w:fill="FFFFFF"/>
        </w:rPr>
        <w:t>个，主要为办公桌椅、文件柜等。通用设备</w:t>
      </w:r>
      <w:r>
        <w:rPr>
          <w:rFonts w:ascii="Times New Roman" w:eastAsia="楷体" w:hAnsi="Times New Roman"/>
          <w:bCs/>
          <w:color w:val="333333"/>
          <w:kern w:val="0"/>
          <w:sz w:val="28"/>
          <w:szCs w:val="28"/>
          <w:shd w:val="clear" w:color="auto" w:fill="FFFFFF"/>
        </w:rPr>
        <w:t>709,335.97</w:t>
      </w:r>
      <w:r>
        <w:rPr>
          <w:rFonts w:ascii="Times New Roman" w:eastAsia="楷体" w:hAnsi="Times New Roman"/>
          <w:bCs/>
          <w:color w:val="333333"/>
          <w:kern w:val="0"/>
          <w:sz w:val="28"/>
          <w:szCs w:val="28"/>
          <w:shd w:val="clear" w:color="auto" w:fill="FFFFFF"/>
        </w:rPr>
        <w:t>元、数量</w:t>
      </w:r>
      <w:r>
        <w:rPr>
          <w:rFonts w:ascii="Times New Roman" w:eastAsia="楷体" w:hAnsi="Times New Roman"/>
          <w:bCs/>
          <w:color w:val="333333"/>
          <w:kern w:val="0"/>
          <w:sz w:val="28"/>
          <w:szCs w:val="28"/>
          <w:shd w:val="clear" w:color="auto" w:fill="FFFFFF"/>
        </w:rPr>
        <w:t>140</w:t>
      </w:r>
      <w:r>
        <w:rPr>
          <w:rFonts w:ascii="Times New Roman" w:eastAsia="楷体" w:hAnsi="Times New Roman"/>
          <w:bCs/>
          <w:color w:val="333333"/>
          <w:kern w:val="0"/>
          <w:sz w:val="28"/>
          <w:szCs w:val="28"/>
          <w:shd w:val="clear" w:color="auto" w:fill="FFFFFF"/>
        </w:rPr>
        <w:t>台，主要为电脑、打印机、空调等），净值</w:t>
      </w:r>
      <w:r>
        <w:rPr>
          <w:rFonts w:ascii="Times New Roman" w:eastAsia="楷体" w:hAnsi="Times New Roman"/>
          <w:bCs/>
          <w:color w:val="333333"/>
          <w:kern w:val="0"/>
          <w:sz w:val="28"/>
          <w:szCs w:val="28"/>
          <w:shd w:val="clear" w:color="auto" w:fill="FFFFFF"/>
        </w:rPr>
        <w:t>396,518.12</w:t>
      </w:r>
      <w:r>
        <w:rPr>
          <w:rFonts w:ascii="Times New Roman" w:eastAsia="楷体" w:hAnsi="Times New Roman"/>
          <w:bCs/>
          <w:color w:val="333333"/>
          <w:kern w:val="0"/>
          <w:sz w:val="28"/>
          <w:szCs w:val="28"/>
          <w:shd w:val="clear" w:color="auto" w:fill="FFFFFF"/>
        </w:rPr>
        <w:t>元，均为在用资产，无闲置资产。</w:t>
      </w:r>
    </w:p>
    <w:p w:rsidR="0057447D" w:rsidRDefault="007A4AFA" w:rsidP="00D80294">
      <w:pPr>
        <w:widowControl/>
        <w:spacing w:line="600" w:lineRule="exact"/>
        <w:ind w:firstLineChars="200" w:firstLine="562"/>
        <w:rPr>
          <w:rFonts w:ascii="Times New Roman" w:eastAsia="楷体" w:hAnsi="Times New Roman"/>
          <w:b/>
          <w:color w:val="333333"/>
          <w:kern w:val="0"/>
          <w:sz w:val="28"/>
          <w:szCs w:val="28"/>
          <w:shd w:val="clear" w:color="auto" w:fill="FFFFFF"/>
        </w:rPr>
      </w:pPr>
      <w:r>
        <w:rPr>
          <w:rFonts w:ascii="Times New Roman" w:eastAsia="楷体" w:hAnsi="Times New Roman"/>
          <w:b/>
          <w:color w:val="333333"/>
          <w:kern w:val="0"/>
          <w:sz w:val="28"/>
          <w:szCs w:val="28"/>
          <w:shd w:val="clear" w:color="auto" w:fill="FFFFFF"/>
        </w:rPr>
        <w:t>（五）职责履行和履职效益方面</w:t>
      </w:r>
      <w:r>
        <w:rPr>
          <w:rFonts w:ascii="Times New Roman" w:eastAsia="楷体" w:hAnsi="Times New Roman"/>
          <w:b/>
          <w:color w:val="333333"/>
          <w:kern w:val="0"/>
          <w:sz w:val="28"/>
          <w:szCs w:val="28"/>
          <w:shd w:val="clear" w:color="auto" w:fill="FFFFFF"/>
        </w:rPr>
        <w:t> </w:t>
      </w:r>
    </w:p>
    <w:p w:rsidR="0057447D" w:rsidRDefault="007A4AFA" w:rsidP="00D80294">
      <w:pPr>
        <w:widowControl/>
        <w:spacing w:line="600" w:lineRule="exact"/>
        <w:ind w:firstLineChars="200" w:firstLine="560"/>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1</w:t>
      </w:r>
      <w:r>
        <w:rPr>
          <w:rFonts w:ascii="Times New Roman" w:eastAsia="楷体" w:hAnsi="Times New Roman"/>
          <w:bCs/>
          <w:color w:val="333333"/>
          <w:kern w:val="0"/>
          <w:sz w:val="28"/>
          <w:szCs w:val="28"/>
          <w:shd w:val="clear" w:color="auto" w:fill="FFFFFF"/>
        </w:rPr>
        <w:t>、提高政治站位，强化责任担当，打赢疫情</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阻击战</w:t>
      </w:r>
      <w:r>
        <w:rPr>
          <w:rFonts w:ascii="Times New Roman" w:eastAsia="楷体" w:hAnsi="Times New Roman"/>
          <w:bCs/>
          <w:color w:val="333333"/>
          <w:kern w:val="0"/>
          <w:sz w:val="28"/>
          <w:szCs w:val="28"/>
          <w:shd w:val="clear" w:color="auto" w:fill="FFFFFF"/>
        </w:rPr>
        <w:t>”</w:t>
      </w:r>
    </w:p>
    <w:p w:rsidR="0057447D" w:rsidRDefault="007A4AFA">
      <w:pPr>
        <w:widowControl/>
        <w:spacing w:line="600" w:lineRule="exact"/>
        <w:ind w:firstLine="562"/>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一是及时垫付医保资金，解决医院控费后顾之忧。目前，全州医保经办机构给定点救治医院先行垫付资金</w:t>
      </w:r>
      <w:r>
        <w:rPr>
          <w:rFonts w:ascii="Times New Roman" w:eastAsia="楷体" w:hAnsi="Times New Roman"/>
          <w:bCs/>
          <w:color w:val="333333"/>
          <w:kern w:val="0"/>
          <w:sz w:val="28"/>
          <w:szCs w:val="28"/>
          <w:shd w:val="clear" w:color="auto" w:fill="FFFFFF"/>
        </w:rPr>
        <w:t>5003.83</w:t>
      </w:r>
      <w:r>
        <w:rPr>
          <w:rFonts w:ascii="Times New Roman" w:eastAsia="楷体" w:hAnsi="Times New Roman"/>
          <w:bCs/>
          <w:color w:val="333333"/>
          <w:kern w:val="0"/>
          <w:sz w:val="28"/>
          <w:szCs w:val="28"/>
          <w:shd w:val="clear" w:color="auto" w:fill="FFFFFF"/>
        </w:rPr>
        <w:t>万元，确保了定点救治医院不因医保控费影响救治。二是及时报销费用，解决患者就医后顾之忧。全州新冠肺炎病人治疗费用全部由医保和财政报销，</w:t>
      </w:r>
      <w:r>
        <w:rPr>
          <w:rFonts w:ascii="Times New Roman" w:eastAsia="楷体" w:hAnsi="Times New Roman"/>
          <w:bCs/>
          <w:color w:val="333333"/>
          <w:kern w:val="0"/>
          <w:sz w:val="28"/>
          <w:szCs w:val="28"/>
          <w:shd w:val="clear" w:color="auto" w:fill="FFFFFF"/>
        </w:rPr>
        <w:t>2020</w:t>
      </w:r>
      <w:r>
        <w:rPr>
          <w:rFonts w:ascii="Times New Roman" w:eastAsia="楷体" w:hAnsi="Times New Roman"/>
          <w:bCs/>
          <w:color w:val="333333"/>
          <w:kern w:val="0"/>
          <w:sz w:val="28"/>
          <w:szCs w:val="28"/>
          <w:shd w:val="clear" w:color="auto" w:fill="FFFFFF"/>
        </w:rPr>
        <w:t>年，新冠肺炎患者报销费用</w:t>
      </w:r>
      <w:r>
        <w:rPr>
          <w:rFonts w:ascii="Times New Roman" w:eastAsia="楷体" w:hAnsi="Times New Roman"/>
          <w:bCs/>
          <w:color w:val="333333"/>
          <w:kern w:val="0"/>
          <w:sz w:val="28"/>
          <w:szCs w:val="28"/>
          <w:shd w:val="clear" w:color="auto" w:fill="FFFFFF"/>
        </w:rPr>
        <w:t>6.86</w:t>
      </w:r>
      <w:r>
        <w:rPr>
          <w:rFonts w:ascii="Times New Roman" w:eastAsia="楷体" w:hAnsi="Times New Roman"/>
          <w:bCs/>
          <w:color w:val="333333"/>
          <w:kern w:val="0"/>
          <w:sz w:val="28"/>
          <w:szCs w:val="28"/>
          <w:shd w:val="clear" w:color="auto" w:fill="FFFFFF"/>
        </w:rPr>
        <w:t>万元；疑似病人</w:t>
      </w:r>
      <w:r>
        <w:rPr>
          <w:rFonts w:ascii="Times New Roman" w:eastAsia="楷体" w:hAnsi="Times New Roman"/>
          <w:bCs/>
          <w:color w:val="333333"/>
          <w:kern w:val="0"/>
          <w:sz w:val="28"/>
          <w:szCs w:val="28"/>
          <w:shd w:val="clear" w:color="auto" w:fill="FFFFFF"/>
        </w:rPr>
        <w:t>22</w:t>
      </w:r>
      <w:r>
        <w:rPr>
          <w:rFonts w:ascii="Times New Roman" w:eastAsia="楷体" w:hAnsi="Times New Roman"/>
          <w:bCs/>
          <w:color w:val="333333"/>
          <w:kern w:val="0"/>
          <w:sz w:val="28"/>
          <w:szCs w:val="28"/>
          <w:shd w:val="clear" w:color="auto" w:fill="FFFFFF"/>
        </w:rPr>
        <w:t>例报销费用</w:t>
      </w:r>
      <w:r>
        <w:rPr>
          <w:rFonts w:ascii="Times New Roman" w:eastAsia="楷体" w:hAnsi="Times New Roman"/>
          <w:bCs/>
          <w:color w:val="333333"/>
          <w:kern w:val="0"/>
          <w:sz w:val="28"/>
          <w:szCs w:val="28"/>
          <w:shd w:val="clear" w:color="auto" w:fill="FFFFFF"/>
        </w:rPr>
        <w:t>5.65</w:t>
      </w:r>
      <w:r>
        <w:rPr>
          <w:rFonts w:ascii="Times New Roman" w:eastAsia="楷体" w:hAnsi="Times New Roman"/>
          <w:bCs/>
          <w:color w:val="333333"/>
          <w:kern w:val="0"/>
          <w:sz w:val="28"/>
          <w:szCs w:val="28"/>
          <w:shd w:val="clear" w:color="auto" w:fill="FFFFFF"/>
        </w:rPr>
        <w:t>万元，减轻了患者负责，打消了疑似患者住院疑虑。三是主动采购药品，解决用药后顾之忧。及时将国家治疗药品刊载的疫情防控药品纳入临时应急采购，确保了防治药品的保障供应。四是</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减半征</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，助力企业复工复产。</w:t>
      </w:r>
    </w:p>
    <w:p w:rsidR="0057447D" w:rsidRDefault="007A4AFA">
      <w:pPr>
        <w:widowControl/>
        <w:spacing w:line="180" w:lineRule="atLeast"/>
        <w:ind w:firstLine="562"/>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2</w:t>
      </w:r>
      <w:r>
        <w:rPr>
          <w:rFonts w:ascii="Times New Roman" w:eastAsia="楷体" w:hAnsi="Times New Roman"/>
          <w:bCs/>
          <w:color w:val="333333"/>
          <w:kern w:val="0"/>
          <w:sz w:val="28"/>
          <w:szCs w:val="28"/>
          <w:shd w:val="clear" w:color="auto" w:fill="FFFFFF"/>
        </w:rPr>
        <w:t>、扛起首倡地政治责任，对标对表，打赢医保扶贫攻坚战</w:t>
      </w:r>
    </w:p>
    <w:p w:rsidR="0057447D" w:rsidRDefault="007A4AFA">
      <w:pPr>
        <w:widowControl/>
        <w:spacing w:line="180" w:lineRule="atLeast"/>
        <w:ind w:firstLine="562"/>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一是对标对表，</w:t>
      </w:r>
      <w:r>
        <w:rPr>
          <w:rFonts w:ascii="Times New Roman" w:eastAsia="楷体" w:hAnsi="Times New Roman"/>
          <w:bCs/>
          <w:color w:val="333333"/>
          <w:kern w:val="0"/>
          <w:sz w:val="28"/>
          <w:szCs w:val="28"/>
          <w:shd w:val="clear" w:color="auto" w:fill="FFFFFF"/>
        </w:rPr>
        <w:t>100%</w:t>
      </w:r>
      <w:r>
        <w:rPr>
          <w:rFonts w:ascii="Times New Roman" w:eastAsia="楷体" w:hAnsi="Times New Roman"/>
          <w:bCs/>
          <w:color w:val="333333"/>
          <w:kern w:val="0"/>
          <w:sz w:val="28"/>
          <w:szCs w:val="28"/>
          <w:shd w:val="clear" w:color="auto" w:fill="FFFFFF"/>
        </w:rPr>
        <w:t>完成工作目标。</w:t>
      </w:r>
      <w:r>
        <w:rPr>
          <w:rFonts w:ascii="Times New Roman" w:eastAsia="楷体" w:hAnsi="Times New Roman"/>
          <w:bCs/>
          <w:color w:val="333333"/>
          <w:kern w:val="0"/>
          <w:sz w:val="28"/>
          <w:szCs w:val="28"/>
          <w:shd w:val="clear" w:color="auto" w:fill="FFFFFF"/>
        </w:rPr>
        <w:t>2020</w:t>
      </w:r>
      <w:r>
        <w:rPr>
          <w:rFonts w:ascii="Times New Roman" w:eastAsia="楷体" w:hAnsi="Times New Roman"/>
          <w:bCs/>
          <w:color w:val="333333"/>
          <w:kern w:val="0"/>
          <w:sz w:val="28"/>
          <w:szCs w:val="28"/>
          <w:shd w:val="clear" w:color="auto" w:fill="FFFFFF"/>
        </w:rPr>
        <w:t>年，全州建档立卡贫困人口参保人数为</w:t>
      </w:r>
      <w:r>
        <w:rPr>
          <w:rFonts w:ascii="Times New Roman" w:eastAsia="楷体" w:hAnsi="Times New Roman"/>
          <w:bCs/>
          <w:color w:val="333333"/>
          <w:kern w:val="0"/>
          <w:sz w:val="28"/>
          <w:szCs w:val="28"/>
          <w:shd w:val="clear" w:color="auto" w:fill="FFFFFF"/>
        </w:rPr>
        <w:t>656083</w:t>
      </w:r>
      <w:r>
        <w:rPr>
          <w:rFonts w:ascii="Times New Roman" w:eastAsia="楷体" w:hAnsi="Times New Roman"/>
          <w:bCs/>
          <w:color w:val="333333"/>
          <w:kern w:val="0"/>
          <w:sz w:val="28"/>
          <w:szCs w:val="28"/>
          <w:shd w:val="clear" w:color="auto" w:fill="FFFFFF"/>
        </w:rPr>
        <w:t>人，参保率为</w:t>
      </w:r>
      <w:r>
        <w:rPr>
          <w:rFonts w:ascii="Times New Roman" w:eastAsia="楷体" w:hAnsi="Times New Roman"/>
          <w:bCs/>
          <w:color w:val="333333"/>
          <w:kern w:val="0"/>
          <w:sz w:val="28"/>
          <w:szCs w:val="28"/>
          <w:shd w:val="clear" w:color="auto" w:fill="FFFFFF"/>
        </w:rPr>
        <w:t>100%</w:t>
      </w:r>
      <w:r>
        <w:rPr>
          <w:rFonts w:ascii="Times New Roman" w:eastAsia="楷体" w:hAnsi="Times New Roman"/>
          <w:bCs/>
          <w:color w:val="333333"/>
          <w:kern w:val="0"/>
          <w:sz w:val="28"/>
          <w:szCs w:val="28"/>
          <w:shd w:val="clear" w:color="auto" w:fill="FFFFFF"/>
        </w:rPr>
        <w:t>。建档立卡贫困人口县域内住院补偿</w:t>
      </w:r>
      <w:r>
        <w:rPr>
          <w:rFonts w:ascii="Times New Roman" w:eastAsia="楷体" w:hAnsi="Times New Roman"/>
          <w:bCs/>
          <w:color w:val="333333"/>
          <w:kern w:val="0"/>
          <w:sz w:val="28"/>
          <w:szCs w:val="28"/>
          <w:shd w:val="clear" w:color="auto" w:fill="FFFFFF"/>
        </w:rPr>
        <w:t>141802</w:t>
      </w:r>
      <w:r>
        <w:rPr>
          <w:rFonts w:ascii="Times New Roman" w:eastAsia="楷体" w:hAnsi="Times New Roman"/>
          <w:bCs/>
          <w:color w:val="333333"/>
          <w:kern w:val="0"/>
          <w:sz w:val="28"/>
          <w:szCs w:val="28"/>
          <w:shd w:val="clear" w:color="auto" w:fill="FFFFFF"/>
        </w:rPr>
        <w:t>人次，总医疗费用</w:t>
      </w:r>
      <w:r>
        <w:rPr>
          <w:rFonts w:ascii="Times New Roman" w:eastAsia="楷体" w:hAnsi="Times New Roman"/>
          <w:bCs/>
          <w:color w:val="333333"/>
          <w:kern w:val="0"/>
          <w:sz w:val="28"/>
          <w:szCs w:val="28"/>
          <w:shd w:val="clear" w:color="auto" w:fill="FFFFFF"/>
        </w:rPr>
        <w:t>52824.20</w:t>
      </w:r>
      <w:r>
        <w:rPr>
          <w:rFonts w:ascii="Times New Roman" w:eastAsia="楷体" w:hAnsi="Times New Roman"/>
          <w:bCs/>
          <w:color w:val="333333"/>
          <w:kern w:val="0"/>
          <w:sz w:val="28"/>
          <w:szCs w:val="28"/>
          <w:shd w:val="clear" w:color="auto" w:fill="FFFFFF"/>
        </w:rPr>
        <w:t>万元，报销总金额</w:t>
      </w:r>
      <w:r>
        <w:rPr>
          <w:rFonts w:ascii="Times New Roman" w:eastAsia="楷体" w:hAnsi="Times New Roman"/>
          <w:bCs/>
          <w:color w:val="333333"/>
          <w:kern w:val="0"/>
          <w:sz w:val="28"/>
          <w:szCs w:val="28"/>
          <w:shd w:val="clear" w:color="auto" w:fill="FFFFFF"/>
        </w:rPr>
        <w:lastRenderedPageBreak/>
        <w:t>45988.18</w:t>
      </w:r>
      <w:r>
        <w:rPr>
          <w:rFonts w:ascii="Times New Roman" w:eastAsia="楷体" w:hAnsi="Times New Roman"/>
          <w:bCs/>
          <w:color w:val="333333"/>
          <w:kern w:val="0"/>
          <w:sz w:val="28"/>
          <w:szCs w:val="28"/>
          <w:shd w:val="clear" w:color="auto" w:fill="FFFFFF"/>
        </w:rPr>
        <w:t>万元，县域内实际综合报销比例为</w:t>
      </w:r>
      <w:r>
        <w:rPr>
          <w:rFonts w:ascii="Times New Roman" w:eastAsia="楷体" w:hAnsi="Times New Roman"/>
          <w:bCs/>
          <w:color w:val="333333"/>
          <w:kern w:val="0"/>
          <w:sz w:val="28"/>
          <w:szCs w:val="28"/>
          <w:shd w:val="clear" w:color="auto" w:fill="FFFFFF"/>
        </w:rPr>
        <w:t>87.06%</w:t>
      </w:r>
      <w:r>
        <w:rPr>
          <w:rFonts w:ascii="Times New Roman" w:eastAsia="楷体" w:hAnsi="Times New Roman"/>
          <w:bCs/>
          <w:color w:val="333333"/>
          <w:kern w:val="0"/>
          <w:sz w:val="28"/>
          <w:szCs w:val="28"/>
          <w:shd w:val="clear" w:color="auto" w:fill="FFFFFF"/>
        </w:rPr>
        <w:t>。二是及时整改，问题</w:t>
      </w:r>
      <w:r>
        <w:rPr>
          <w:rFonts w:ascii="Times New Roman" w:eastAsia="楷体" w:hAnsi="Times New Roman"/>
          <w:bCs/>
          <w:color w:val="333333"/>
          <w:kern w:val="0"/>
          <w:sz w:val="28"/>
          <w:szCs w:val="28"/>
          <w:shd w:val="clear" w:color="auto" w:fill="FFFFFF"/>
        </w:rPr>
        <w:t>100%</w:t>
      </w:r>
      <w:r>
        <w:rPr>
          <w:rFonts w:ascii="Times New Roman" w:eastAsia="楷体" w:hAnsi="Times New Roman"/>
          <w:bCs/>
          <w:color w:val="333333"/>
          <w:kern w:val="0"/>
          <w:sz w:val="28"/>
          <w:szCs w:val="28"/>
          <w:shd w:val="clear" w:color="auto" w:fill="FFFFFF"/>
        </w:rPr>
        <w:t>整改到位。按照</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及时交办、跟踪督办、抽查复查</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的原则，对中央脱贫攻坚成效考核、省级脱贫攻坚工作考核、省联点督查、州扶贫审计等反馈的问题及时交办、及时整改清零，整改到位率</w:t>
      </w:r>
      <w:r>
        <w:rPr>
          <w:rFonts w:ascii="Times New Roman" w:eastAsia="楷体" w:hAnsi="Times New Roman"/>
          <w:bCs/>
          <w:color w:val="333333"/>
          <w:kern w:val="0"/>
          <w:sz w:val="28"/>
          <w:szCs w:val="28"/>
          <w:shd w:val="clear" w:color="auto" w:fill="FFFFFF"/>
        </w:rPr>
        <w:t>100%</w:t>
      </w:r>
      <w:r>
        <w:rPr>
          <w:rFonts w:ascii="Times New Roman" w:eastAsia="楷体" w:hAnsi="Times New Roman"/>
          <w:bCs/>
          <w:color w:val="333333"/>
          <w:kern w:val="0"/>
          <w:sz w:val="28"/>
          <w:szCs w:val="28"/>
          <w:shd w:val="clear" w:color="auto" w:fill="FFFFFF"/>
        </w:rPr>
        <w:t>。</w:t>
      </w:r>
    </w:p>
    <w:p w:rsidR="0057447D" w:rsidRDefault="007A4AFA">
      <w:pPr>
        <w:widowControl/>
        <w:spacing w:line="180" w:lineRule="atLeast"/>
        <w:ind w:firstLine="562"/>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3</w:t>
      </w:r>
      <w:r>
        <w:rPr>
          <w:rFonts w:ascii="Times New Roman" w:eastAsia="楷体" w:hAnsi="Times New Roman"/>
          <w:bCs/>
          <w:color w:val="333333"/>
          <w:kern w:val="0"/>
          <w:sz w:val="28"/>
          <w:szCs w:val="28"/>
          <w:shd w:val="clear" w:color="auto" w:fill="FFFFFF"/>
        </w:rPr>
        <w:t>、高起点谋划，统筹布局，州级统筹工作如期实施</w:t>
      </w:r>
    </w:p>
    <w:p w:rsidR="0057447D" w:rsidRDefault="007A4AFA">
      <w:pPr>
        <w:widowControl/>
        <w:spacing w:line="620" w:lineRule="exact"/>
        <w:ind w:firstLine="561"/>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一是统一了统筹工作政策框架。形成了以州级统筹实施方案为主体，以基金预算决算管理、州级风险储备金管理、目标管理考核等关键性配套政策为辅的</w:t>
      </w:r>
      <w:r>
        <w:rPr>
          <w:rFonts w:ascii="Times New Roman" w:eastAsia="楷体" w:hAnsi="Times New Roman"/>
          <w:bCs/>
          <w:color w:val="333333"/>
          <w:kern w:val="0"/>
          <w:sz w:val="28"/>
          <w:szCs w:val="28"/>
          <w:shd w:val="clear" w:color="auto" w:fill="FFFFFF"/>
        </w:rPr>
        <w:t>“1+3+N”</w:t>
      </w:r>
      <w:r>
        <w:rPr>
          <w:rFonts w:ascii="Times New Roman" w:eastAsia="楷体" w:hAnsi="Times New Roman"/>
          <w:bCs/>
          <w:color w:val="333333"/>
          <w:kern w:val="0"/>
          <w:sz w:val="28"/>
          <w:szCs w:val="28"/>
          <w:shd w:val="clear" w:color="auto" w:fill="FFFFFF"/>
        </w:rPr>
        <w:t>政策文件体系。二是统一了基金管理，实现了州级统筹基金统收统支。截至</w:t>
      </w:r>
      <w:r>
        <w:rPr>
          <w:rFonts w:ascii="Times New Roman" w:eastAsia="楷体" w:hAnsi="Times New Roman"/>
          <w:bCs/>
          <w:color w:val="333333"/>
          <w:kern w:val="0"/>
          <w:sz w:val="28"/>
          <w:szCs w:val="28"/>
          <w:shd w:val="clear" w:color="auto" w:fill="FFFFFF"/>
        </w:rPr>
        <w:t>11</w:t>
      </w:r>
      <w:r>
        <w:rPr>
          <w:rFonts w:ascii="Times New Roman" w:eastAsia="楷体" w:hAnsi="Times New Roman"/>
          <w:bCs/>
          <w:color w:val="333333"/>
          <w:kern w:val="0"/>
          <w:sz w:val="28"/>
          <w:szCs w:val="28"/>
          <w:shd w:val="clear" w:color="auto" w:fill="FFFFFF"/>
        </w:rPr>
        <w:t>月</w:t>
      </w:r>
      <w:r>
        <w:rPr>
          <w:rFonts w:ascii="Times New Roman" w:eastAsia="楷体" w:hAnsi="Times New Roman"/>
          <w:bCs/>
          <w:color w:val="333333"/>
          <w:kern w:val="0"/>
          <w:sz w:val="28"/>
          <w:szCs w:val="28"/>
          <w:shd w:val="clear" w:color="auto" w:fill="FFFFFF"/>
        </w:rPr>
        <w:t>23</w:t>
      </w:r>
      <w:r>
        <w:rPr>
          <w:rFonts w:ascii="Times New Roman" w:eastAsia="楷体" w:hAnsi="Times New Roman"/>
          <w:bCs/>
          <w:color w:val="333333"/>
          <w:kern w:val="0"/>
          <w:sz w:val="28"/>
          <w:szCs w:val="28"/>
          <w:shd w:val="clear" w:color="auto" w:fill="FFFFFF"/>
        </w:rPr>
        <w:t>日，全州应上解医保基金</w:t>
      </w:r>
      <w:r>
        <w:rPr>
          <w:rFonts w:ascii="Times New Roman" w:eastAsia="楷体" w:hAnsi="Times New Roman"/>
          <w:bCs/>
          <w:color w:val="333333"/>
          <w:kern w:val="0"/>
          <w:sz w:val="28"/>
          <w:szCs w:val="28"/>
          <w:shd w:val="clear" w:color="auto" w:fill="FFFFFF"/>
        </w:rPr>
        <w:t>28.13</w:t>
      </w:r>
      <w:r>
        <w:rPr>
          <w:rFonts w:ascii="Times New Roman" w:eastAsia="楷体" w:hAnsi="Times New Roman"/>
          <w:bCs/>
          <w:color w:val="333333"/>
          <w:kern w:val="0"/>
          <w:sz w:val="28"/>
          <w:szCs w:val="28"/>
          <w:shd w:val="clear" w:color="auto" w:fill="FFFFFF"/>
        </w:rPr>
        <w:t>亿元，实际上解</w:t>
      </w:r>
      <w:r>
        <w:rPr>
          <w:rFonts w:ascii="Times New Roman" w:eastAsia="楷体" w:hAnsi="Times New Roman"/>
          <w:bCs/>
          <w:color w:val="333333"/>
          <w:kern w:val="0"/>
          <w:sz w:val="28"/>
          <w:szCs w:val="28"/>
          <w:shd w:val="clear" w:color="auto" w:fill="FFFFFF"/>
        </w:rPr>
        <w:t>25.58</w:t>
      </w:r>
      <w:r>
        <w:rPr>
          <w:rFonts w:ascii="Times New Roman" w:eastAsia="楷体" w:hAnsi="Times New Roman"/>
          <w:bCs/>
          <w:color w:val="333333"/>
          <w:kern w:val="0"/>
          <w:sz w:val="28"/>
          <w:szCs w:val="28"/>
          <w:shd w:val="clear" w:color="auto" w:fill="FFFFFF"/>
        </w:rPr>
        <w:t>亿元，完成占比</w:t>
      </w:r>
      <w:r>
        <w:rPr>
          <w:rFonts w:ascii="Times New Roman" w:eastAsia="楷体" w:hAnsi="Times New Roman"/>
          <w:bCs/>
          <w:color w:val="333333"/>
          <w:kern w:val="0"/>
          <w:sz w:val="28"/>
          <w:szCs w:val="28"/>
          <w:shd w:val="clear" w:color="auto" w:fill="FFFFFF"/>
        </w:rPr>
        <w:t>90.93%</w:t>
      </w:r>
      <w:r>
        <w:rPr>
          <w:rFonts w:ascii="Times New Roman" w:eastAsia="楷体" w:hAnsi="Times New Roman"/>
          <w:bCs/>
          <w:color w:val="333333"/>
          <w:kern w:val="0"/>
          <w:sz w:val="28"/>
          <w:szCs w:val="28"/>
          <w:shd w:val="clear" w:color="auto" w:fill="FFFFFF"/>
        </w:rPr>
        <w:t>，余下未上解的为各县市定期存款基金。三是统一了全州药品采购目录及结算方式。四是统一了全州医保经办服务流程。制定了全州统一的参保登记、基金征缴、待遇支付等工作流程，统一了社会办医纳入医保协议的条件及流程，统一了</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两病</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用药及特药报账流程。五是统一了全州医疗服务项目及价格标准。六是统一了全州城镇职工、生育保险、城乡居民基本医疗保险基本政策。</w:t>
      </w:r>
    </w:p>
    <w:p w:rsidR="0057447D" w:rsidRDefault="007A4AFA">
      <w:pPr>
        <w:widowControl/>
        <w:spacing w:line="620" w:lineRule="exact"/>
        <w:ind w:firstLine="561"/>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4</w:t>
      </w:r>
      <w:r>
        <w:rPr>
          <w:rFonts w:ascii="Times New Roman" w:eastAsia="楷体" w:hAnsi="Times New Roman"/>
          <w:bCs/>
          <w:color w:val="333333"/>
          <w:kern w:val="0"/>
          <w:sz w:val="28"/>
          <w:szCs w:val="28"/>
          <w:shd w:val="clear" w:color="auto" w:fill="FFFFFF"/>
        </w:rPr>
        <w:t>、主动作为，寻求突破，医用耗材价格降幅明显</w:t>
      </w:r>
    </w:p>
    <w:p w:rsidR="0057447D" w:rsidRDefault="007A4AFA">
      <w:pPr>
        <w:widowControl/>
        <w:spacing w:line="620" w:lineRule="exact"/>
        <w:ind w:firstLine="561"/>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一是医用耗材价格降幅大，高值耗材平均下降</w:t>
      </w:r>
      <w:r>
        <w:rPr>
          <w:rFonts w:ascii="Times New Roman" w:eastAsia="楷体" w:hAnsi="Times New Roman"/>
          <w:bCs/>
          <w:color w:val="333333"/>
          <w:kern w:val="0"/>
          <w:sz w:val="28"/>
          <w:szCs w:val="28"/>
          <w:shd w:val="clear" w:color="auto" w:fill="FFFFFF"/>
        </w:rPr>
        <w:t>42%</w:t>
      </w:r>
      <w:r>
        <w:rPr>
          <w:rFonts w:ascii="Times New Roman" w:eastAsia="楷体" w:hAnsi="Times New Roman"/>
          <w:bCs/>
          <w:color w:val="333333"/>
          <w:kern w:val="0"/>
          <w:sz w:val="28"/>
          <w:szCs w:val="28"/>
          <w:shd w:val="clear" w:color="auto" w:fill="FFFFFF"/>
        </w:rPr>
        <w:t>，低值耗材平均降幅</w:t>
      </w:r>
      <w:r>
        <w:rPr>
          <w:rFonts w:ascii="Times New Roman" w:eastAsia="楷体" w:hAnsi="Times New Roman"/>
          <w:bCs/>
          <w:color w:val="333333"/>
          <w:kern w:val="0"/>
          <w:sz w:val="28"/>
          <w:szCs w:val="28"/>
          <w:shd w:val="clear" w:color="auto" w:fill="FFFFFF"/>
        </w:rPr>
        <w:t>52.4%</w:t>
      </w:r>
      <w:r>
        <w:rPr>
          <w:rFonts w:ascii="Times New Roman" w:eastAsia="楷体" w:hAnsi="Times New Roman"/>
          <w:bCs/>
          <w:color w:val="333333"/>
          <w:kern w:val="0"/>
          <w:sz w:val="28"/>
          <w:szCs w:val="28"/>
          <w:shd w:val="clear" w:color="auto" w:fill="FFFFFF"/>
        </w:rPr>
        <w:t>。高值耗材方面，在全州统一推行骨科植入类集中配送带量采购改革，经在省公共资源交易中心公开招标采购，骨科植入类高值耗材平均下降</w:t>
      </w:r>
      <w:r>
        <w:rPr>
          <w:rFonts w:ascii="Times New Roman" w:eastAsia="楷体" w:hAnsi="Times New Roman"/>
          <w:bCs/>
          <w:color w:val="333333"/>
          <w:kern w:val="0"/>
          <w:sz w:val="28"/>
          <w:szCs w:val="28"/>
          <w:shd w:val="clear" w:color="auto" w:fill="FFFFFF"/>
        </w:rPr>
        <w:t>42%</w:t>
      </w:r>
      <w:r>
        <w:rPr>
          <w:rFonts w:ascii="Times New Roman" w:eastAsia="楷体" w:hAnsi="Times New Roman"/>
          <w:bCs/>
          <w:color w:val="333333"/>
          <w:kern w:val="0"/>
          <w:sz w:val="28"/>
          <w:szCs w:val="28"/>
          <w:shd w:val="clear" w:color="auto" w:fill="FFFFFF"/>
        </w:rPr>
        <w:t>。二是超额完成国家药品集中带量采购任务和湖南省抗菌药物专项集中采购工作，全省唯一实行药品款医保结算方</w:t>
      </w:r>
      <w:r>
        <w:rPr>
          <w:rFonts w:ascii="Times New Roman" w:eastAsia="楷体" w:hAnsi="Times New Roman"/>
          <w:bCs/>
          <w:color w:val="333333"/>
          <w:kern w:val="0"/>
          <w:sz w:val="28"/>
          <w:szCs w:val="28"/>
          <w:shd w:val="clear" w:color="auto" w:fill="FFFFFF"/>
        </w:rPr>
        <w:lastRenderedPageBreak/>
        <w:t>式市州。三是规范调整医疗服务价格，在全省率先规范医保协议民营医院医药采购和服务价格。全面取消公立医疗机构医用耗材加成，实行</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零差率</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销售。实行按病种付费、按床日付费、按项目付费等多元复合式支付方式。</w:t>
      </w:r>
    </w:p>
    <w:p w:rsidR="0057447D" w:rsidRDefault="007A4AFA">
      <w:pPr>
        <w:widowControl/>
        <w:spacing w:line="620" w:lineRule="exact"/>
        <w:ind w:firstLine="561"/>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5</w:t>
      </w:r>
      <w:r>
        <w:rPr>
          <w:rFonts w:ascii="Times New Roman" w:eastAsia="楷体" w:hAnsi="Times New Roman"/>
          <w:bCs/>
          <w:color w:val="333333"/>
          <w:kern w:val="0"/>
          <w:sz w:val="28"/>
          <w:szCs w:val="28"/>
          <w:shd w:val="clear" w:color="auto" w:fill="FFFFFF"/>
        </w:rPr>
        <w:t>、紧贴民生，补齐短板，医疗保障待遇稳步提高</w:t>
      </w:r>
    </w:p>
    <w:p w:rsidR="0057447D" w:rsidRDefault="007A4AFA">
      <w:pPr>
        <w:widowControl/>
        <w:spacing w:line="620" w:lineRule="exact"/>
        <w:ind w:firstLine="561"/>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2020</w:t>
      </w:r>
      <w:r>
        <w:rPr>
          <w:rFonts w:ascii="Times New Roman" w:eastAsia="楷体" w:hAnsi="Times New Roman"/>
          <w:bCs/>
          <w:color w:val="333333"/>
          <w:kern w:val="0"/>
          <w:sz w:val="28"/>
          <w:szCs w:val="28"/>
          <w:shd w:val="clear" w:color="auto" w:fill="FFFFFF"/>
        </w:rPr>
        <w:t>年全州参加基本医疗保险参保人数</w:t>
      </w:r>
      <w:r>
        <w:rPr>
          <w:rFonts w:ascii="Times New Roman" w:eastAsia="楷体" w:hAnsi="Times New Roman"/>
          <w:bCs/>
          <w:color w:val="333333"/>
          <w:kern w:val="0"/>
          <w:sz w:val="28"/>
          <w:szCs w:val="28"/>
          <w:shd w:val="clear" w:color="auto" w:fill="FFFFFF"/>
        </w:rPr>
        <w:t>269.41</w:t>
      </w:r>
      <w:r>
        <w:rPr>
          <w:rFonts w:ascii="Times New Roman" w:eastAsia="楷体" w:hAnsi="Times New Roman"/>
          <w:bCs/>
          <w:color w:val="333333"/>
          <w:kern w:val="0"/>
          <w:sz w:val="28"/>
          <w:szCs w:val="28"/>
          <w:shd w:val="clear" w:color="auto" w:fill="FFFFFF"/>
        </w:rPr>
        <w:t>万人，城乡居民参保率达</w:t>
      </w:r>
      <w:r>
        <w:rPr>
          <w:rFonts w:ascii="Times New Roman" w:eastAsia="楷体" w:hAnsi="Times New Roman"/>
          <w:bCs/>
          <w:color w:val="333333"/>
          <w:kern w:val="0"/>
          <w:sz w:val="28"/>
          <w:szCs w:val="28"/>
          <w:shd w:val="clear" w:color="auto" w:fill="FFFFFF"/>
        </w:rPr>
        <w:t>97.13%</w:t>
      </w:r>
      <w:r>
        <w:rPr>
          <w:rFonts w:ascii="Times New Roman" w:eastAsia="楷体" w:hAnsi="Times New Roman"/>
          <w:bCs/>
          <w:color w:val="333333"/>
          <w:kern w:val="0"/>
          <w:sz w:val="28"/>
          <w:szCs w:val="28"/>
          <w:shd w:val="clear" w:color="auto" w:fill="FFFFFF"/>
        </w:rPr>
        <w:t>，全省排名第二。为提高参保人待遇，一是积极落实国家谈判抗癌药品、湖南省特殊药品在我州的使用。</w:t>
      </w:r>
      <w:r>
        <w:rPr>
          <w:rFonts w:ascii="Times New Roman" w:eastAsia="楷体" w:hAnsi="Times New Roman"/>
          <w:bCs/>
          <w:color w:val="333333"/>
          <w:kern w:val="0"/>
          <w:sz w:val="28"/>
          <w:szCs w:val="28"/>
          <w:shd w:val="clear" w:color="auto" w:fill="FFFFFF"/>
        </w:rPr>
        <w:t>2020</w:t>
      </w:r>
      <w:r>
        <w:rPr>
          <w:rFonts w:ascii="Times New Roman" w:eastAsia="楷体" w:hAnsi="Times New Roman"/>
          <w:bCs/>
          <w:color w:val="333333"/>
          <w:kern w:val="0"/>
          <w:sz w:val="28"/>
          <w:szCs w:val="28"/>
          <w:shd w:val="clear" w:color="auto" w:fill="FFFFFF"/>
        </w:rPr>
        <w:t>年，我州使用</w:t>
      </w:r>
      <w:r>
        <w:rPr>
          <w:rFonts w:ascii="Times New Roman" w:eastAsia="楷体" w:hAnsi="Times New Roman"/>
          <w:bCs/>
          <w:color w:val="333333"/>
          <w:kern w:val="0"/>
          <w:sz w:val="28"/>
          <w:szCs w:val="28"/>
          <w:shd w:val="clear" w:color="auto" w:fill="FFFFFF"/>
        </w:rPr>
        <w:t>118</w:t>
      </w:r>
      <w:r>
        <w:rPr>
          <w:rFonts w:ascii="Times New Roman" w:eastAsia="楷体" w:hAnsi="Times New Roman"/>
          <w:bCs/>
          <w:color w:val="333333"/>
          <w:kern w:val="0"/>
          <w:sz w:val="28"/>
          <w:szCs w:val="28"/>
          <w:shd w:val="clear" w:color="auto" w:fill="FFFFFF"/>
        </w:rPr>
        <w:t>种谈判抗癌药</w:t>
      </w:r>
      <w:r>
        <w:rPr>
          <w:rFonts w:ascii="Times New Roman" w:eastAsia="楷体" w:hAnsi="Times New Roman"/>
          <w:bCs/>
          <w:color w:val="333333"/>
          <w:kern w:val="0"/>
          <w:sz w:val="28"/>
          <w:szCs w:val="28"/>
          <w:shd w:val="clear" w:color="auto" w:fill="FFFFFF"/>
        </w:rPr>
        <w:t>13266</w:t>
      </w:r>
      <w:r>
        <w:rPr>
          <w:rFonts w:ascii="Times New Roman" w:eastAsia="楷体" w:hAnsi="Times New Roman"/>
          <w:bCs/>
          <w:color w:val="333333"/>
          <w:kern w:val="0"/>
          <w:sz w:val="28"/>
          <w:szCs w:val="28"/>
          <w:shd w:val="clear" w:color="auto" w:fill="FFFFFF"/>
        </w:rPr>
        <w:t>人次，总费用</w:t>
      </w:r>
      <w:r>
        <w:rPr>
          <w:rFonts w:ascii="Times New Roman" w:eastAsia="楷体" w:hAnsi="Times New Roman"/>
          <w:bCs/>
          <w:color w:val="333333"/>
          <w:kern w:val="0"/>
          <w:sz w:val="28"/>
          <w:szCs w:val="28"/>
          <w:shd w:val="clear" w:color="auto" w:fill="FFFFFF"/>
        </w:rPr>
        <w:t>9702897.91</w:t>
      </w:r>
      <w:r>
        <w:rPr>
          <w:rFonts w:ascii="Times New Roman" w:eastAsia="楷体" w:hAnsi="Times New Roman"/>
          <w:bCs/>
          <w:color w:val="333333"/>
          <w:kern w:val="0"/>
          <w:sz w:val="28"/>
          <w:szCs w:val="28"/>
          <w:shd w:val="clear" w:color="auto" w:fill="FFFFFF"/>
        </w:rPr>
        <w:t>元，纳入报销总费用</w:t>
      </w:r>
      <w:r>
        <w:rPr>
          <w:rFonts w:ascii="Times New Roman" w:eastAsia="楷体" w:hAnsi="Times New Roman"/>
          <w:bCs/>
          <w:color w:val="333333"/>
          <w:kern w:val="0"/>
          <w:sz w:val="28"/>
          <w:szCs w:val="28"/>
          <w:shd w:val="clear" w:color="auto" w:fill="FFFFFF"/>
        </w:rPr>
        <w:t>9702897.91</w:t>
      </w:r>
      <w:r>
        <w:rPr>
          <w:rFonts w:ascii="Times New Roman" w:eastAsia="楷体" w:hAnsi="Times New Roman"/>
          <w:bCs/>
          <w:color w:val="333333"/>
          <w:kern w:val="0"/>
          <w:sz w:val="28"/>
          <w:szCs w:val="28"/>
          <w:shd w:val="clear" w:color="auto" w:fill="FFFFFF"/>
        </w:rPr>
        <w:t>元，基金支付</w:t>
      </w:r>
      <w:r>
        <w:rPr>
          <w:rFonts w:ascii="Times New Roman" w:eastAsia="楷体" w:hAnsi="Times New Roman"/>
          <w:bCs/>
          <w:color w:val="333333"/>
          <w:kern w:val="0"/>
          <w:sz w:val="28"/>
          <w:szCs w:val="28"/>
          <w:shd w:val="clear" w:color="auto" w:fill="FFFFFF"/>
        </w:rPr>
        <w:t>7820899.17</w:t>
      </w:r>
      <w:r>
        <w:rPr>
          <w:rFonts w:ascii="Times New Roman" w:eastAsia="楷体" w:hAnsi="Times New Roman"/>
          <w:bCs/>
          <w:color w:val="333333"/>
          <w:kern w:val="0"/>
          <w:sz w:val="28"/>
          <w:szCs w:val="28"/>
          <w:shd w:val="clear" w:color="auto" w:fill="FFFFFF"/>
        </w:rPr>
        <w:t>元。二是加强大病保险工作。当前我州城乡居民大病保险筹资标准为</w:t>
      </w:r>
      <w:r>
        <w:rPr>
          <w:rFonts w:ascii="Times New Roman" w:eastAsia="楷体" w:hAnsi="Times New Roman"/>
          <w:bCs/>
          <w:color w:val="333333"/>
          <w:kern w:val="0"/>
          <w:sz w:val="28"/>
          <w:szCs w:val="28"/>
          <w:shd w:val="clear" w:color="auto" w:fill="FFFFFF"/>
        </w:rPr>
        <w:t>65</w:t>
      </w:r>
      <w:r>
        <w:rPr>
          <w:rFonts w:ascii="Times New Roman" w:eastAsia="楷体" w:hAnsi="Times New Roman"/>
          <w:bCs/>
          <w:color w:val="333333"/>
          <w:kern w:val="0"/>
          <w:sz w:val="28"/>
          <w:szCs w:val="28"/>
          <w:shd w:val="clear" w:color="auto" w:fill="FFFFFF"/>
        </w:rPr>
        <w:t>元</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人，一般人群大病保险起付线为</w:t>
      </w:r>
      <w:r>
        <w:rPr>
          <w:rFonts w:ascii="Times New Roman" w:eastAsia="楷体" w:hAnsi="Times New Roman"/>
          <w:bCs/>
          <w:color w:val="333333"/>
          <w:kern w:val="0"/>
          <w:sz w:val="28"/>
          <w:szCs w:val="28"/>
          <w:shd w:val="clear" w:color="auto" w:fill="FFFFFF"/>
        </w:rPr>
        <w:t>8000</w:t>
      </w:r>
      <w:r>
        <w:rPr>
          <w:rFonts w:ascii="Times New Roman" w:eastAsia="楷体" w:hAnsi="Times New Roman"/>
          <w:bCs/>
          <w:color w:val="333333"/>
          <w:kern w:val="0"/>
          <w:sz w:val="28"/>
          <w:szCs w:val="28"/>
          <w:shd w:val="clear" w:color="auto" w:fill="FFFFFF"/>
        </w:rPr>
        <w:t>元，建档立卡贫困人口、特困人口、城乡低保对象大病保险起付线为</w:t>
      </w:r>
      <w:r>
        <w:rPr>
          <w:rFonts w:ascii="Times New Roman" w:eastAsia="楷体" w:hAnsi="Times New Roman"/>
          <w:bCs/>
          <w:color w:val="333333"/>
          <w:kern w:val="0"/>
          <w:sz w:val="28"/>
          <w:szCs w:val="28"/>
          <w:shd w:val="clear" w:color="auto" w:fill="FFFFFF"/>
        </w:rPr>
        <w:t>4000</w:t>
      </w:r>
      <w:r>
        <w:rPr>
          <w:rFonts w:ascii="Times New Roman" w:eastAsia="楷体" w:hAnsi="Times New Roman"/>
          <w:bCs/>
          <w:color w:val="333333"/>
          <w:kern w:val="0"/>
          <w:sz w:val="28"/>
          <w:szCs w:val="28"/>
          <w:shd w:val="clear" w:color="auto" w:fill="FFFFFF"/>
        </w:rPr>
        <w:t>元。一般人群大病保险年度累计补偿最高额度为</w:t>
      </w:r>
      <w:r>
        <w:rPr>
          <w:rFonts w:ascii="Times New Roman" w:eastAsia="楷体" w:hAnsi="Times New Roman"/>
          <w:bCs/>
          <w:color w:val="333333"/>
          <w:kern w:val="0"/>
          <w:sz w:val="28"/>
          <w:szCs w:val="28"/>
          <w:shd w:val="clear" w:color="auto" w:fill="FFFFFF"/>
        </w:rPr>
        <w:t>30</w:t>
      </w:r>
      <w:r>
        <w:rPr>
          <w:rFonts w:ascii="Times New Roman" w:eastAsia="楷体" w:hAnsi="Times New Roman"/>
          <w:bCs/>
          <w:color w:val="333333"/>
          <w:kern w:val="0"/>
          <w:sz w:val="28"/>
          <w:szCs w:val="28"/>
          <w:shd w:val="clear" w:color="auto" w:fill="FFFFFF"/>
        </w:rPr>
        <w:t>万元，建档立卡贫困人口无封顶线。三是落实门诊统筹及</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两病</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用药政策。</w:t>
      </w:r>
    </w:p>
    <w:p w:rsidR="0057447D" w:rsidRDefault="007A4AFA">
      <w:pPr>
        <w:widowControl/>
        <w:spacing w:line="600" w:lineRule="exact"/>
        <w:ind w:firstLine="561"/>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6</w:t>
      </w:r>
      <w:r>
        <w:rPr>
          <w:rFonts w:ascii="Times New Roman" w:eastAsia="楷体" w:hAnsi="Times New Roman"/>
          <w:bCs/>
          <w:color w:val="333333"/>
          <w:kern w:val="0"/>
          <w:sz w:val="28"/>
          <w:szCs w:val="28"/>
          <w:shd w:val="clear" w:color="auto" w:fill="FFFFFF"/>
        </w:rPr>
        <w:t>、多措并举，部门联动，看好百姓</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救命钱</w:t>
      </w:r>
      <w:r>
        <w:rPr>
          <w:rFonts w:ascii="Times New Roman" w:eastAsia="楷体" w:hAnsi="Times New Roman"/>
          <w:bCs/>
          <w:color w:val="333333"/>
          <w:kern w:val="0"/>
          <w:sz w:val="28"/>
          <w:szCs w:val="28"/>
          <w:shd w:val="clear" w:color="auto" w:fill="FFFFFF"/>
        </w:rPr>
        <w:t>”</w:t>
      </w:r>
    </w:p>
    <w:p w:rsidR="0057447D" w:rsidRDefault="007A4AFA">
      <w:pPr>
        <w:widowControl/>
        <w:spacing w:line="620" w:lineRule="exact"/>
        <w:ind w:firstLine="561"/>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2020</w:t>
      </w:r>
      <w:r>
        <w:rPr>
          <w:rFonts w:ascii="Times New Roman" w:eastAsia="楷体" w:hAnsi="Times New Roman"/>
          <w:bCs/>
          <w:color w:val="333333"/>
          <w:kern w:val="0"/>
          <w:sz w:val="28"/>
          <w:szCs w:val="28"/>
          <w:shd w:val="clear" w:color="auto" w:fill="FFFFFF"/>
        </w:rPr>
        <w:t>年</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全州基本医疗保险基金总收入</w:t>
      </w:r>
      <w:r>
        <w:rPr>
          <w:rFonts w:ascii="Times New Roman" w:eastAsia="楷体" w:hAnsi="Times New Roman"/>
          <w:bCs/>
          <w:color w:val="333333"/>
          <w:kern w:val="0"/>
          <w:sz w:val="28"/>
          <w:szCs w:val="28"/>
          <w:shd w:val="clear" w:color="auto" w:fill="FFFFFF"/>
        </w:rPr>
        <w:t>34.44</w:t>
      </w:r>
      <w:r>
        <w:rPr>
          <w:rFonts w:ascii="Times New Roman" w:eastAsia="楷体" w:hAnsi="Times New Roman"/>
          <w:bCs/>
          <w:color w:val="333333"/>
          <w:kern w:val="0"/>
          <w:sz w:val="28"/>
          <w:szCs w:val="28"/>
          <w:shd w:val="clear" w:color="auto" w:fill="FFFFFF"/>
        </w:rPr>
        <w:t>亿元，总支出为</w:t>
      </w:r>
      <w:r>
        <w:rPr>
          <w:rFonts w:ascii="Times New Roman" w:eastAsia="楷体" w:hAnsi="Times New Roman"/>
          <w:bCs/>
          <w:color w:val="333333"/>
          <w:kern w:val="0"/>
          <w:sz w:val="28"/>
          <w:szCs w:val="28"/>
          <w:shd w:val="clear" w:color="auto" w:fill="FFFFFF"/>
        </w:rPr>
        <w:t>29.38</w:t>
      </w:r>
      <w:r>
        <w:rPr>
          <w:rFonts w:ascii="Times New Roman" w:eastAsia="楷体" w:hAnsi="Times New Roman"/>
          <w:bCs/>
          <w:color w:val="333333"/>
          <w:kern w:val="0"/>
          <w:sz w:val="28"/>
          <w:szCs w:val="28"/>
          <w:shd w:val="clear" w:color="auto" w:fill="FFFFFF"/>
        </w:rPr>
        <w:t>亿元，年末累计结存</w:t>
      </w:r>
      <w:r>
        <w:rPr>
          <w:rFonts w:ascii="Times New Roman" w:eastAsia="楷体" w:hAnsi="Times New Roman"/>
          <w:bCs/>
          <w:color w:val="333333"/>
          <w:kern w:val="0"/>
          <w:sz w:val="28"/>
          <w:szCs w:val="28"/>
          <w:shd w:val="clear" w:color="auto" w:fill="FFFFFF"/>
        </w:rPr>
        <w:t>32.43</w:t>
      </w:r>
      <w:r>
        <w:rPr>
          <w:rFonts w:ascii="Times New Roman" w:eastAsia="楷体" w:hAnsi="Times New Roman"/>
          <w:bCs/>
          <w:color w:val="333333"/>
          <w:kern w:val="0"/>
          <w:sz w:val="28"/>
          <w:szCs w:val="28"/>
          <w:shd w:val="clear" w:color="auto" w:fill="FFFFFF"/>
        </w:rPr>
        <w:t>亿元。为看好百姓救命钱，一是加强社会监督。成立湘西州医疗保障基金监督委员会，建立社会监督员制度，邀请人大代表、政协委员、新闻媒体代表等参与监管重大决策与行动，动员社会各方力量关注支持医保基金监管工作。二是加强部门联动。成立了由州医疗保障局牵头、州发展和改革局、州公安局等</w:t>
      </w:r>
      <w:r>
        <w:rPr>
          <w:rFonts w:ascii="Times New Roman" w:eastAsia="楷体" w:hAnsi="Times New Roman"/>
          <w:bCs/>
          <w:color w:val="333333"/>
          <w:kern w:val="0"/>
          <w:sz w:val="28"/>
          <w:szCs w:val="28"/>
          <w:shd w:val="clear" w:color="auto" w:fill="FFFFFF"/>
        </w:rPr>
        <w:lastRenderedPageBreak/>
        <w:t>10</w:t>
      </w:r>
      <w:r>
        <w:rPr>
          <w:rFonts w:ascii="Times New Roman" w:eastAsia="楷体" w:hAnsi="Times New Roman"/>
          <w:bCs/>
          <w:color w:val="333333"/>
          <w:kern w:val="0"/>
          <w:sz w:val="28"/>
          <w:szCs w:val="28"/>
          <w:shd w:val="clear" w:color="auto" w:fill="FFFFFF"/>
        </w:rPr>
        <w:t>个部门共同组成的联席会议领导小组，共同做好打击欺诈骗保工作。三是加强宣传。开展</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打击欺诈骗保、维护医保基金安全</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集中宣传月活动，发送公益移动短信</w:t>
      </w:r>
      <w:r>
        <w:rPr>
          <w:rFonts w:ascii="Times New Roman" w:eastAsia="楷体" w:hAnsi="Times New Roman"/>
          <w:bCs/>
          <w:color w:val="333333"/>
          <w:kern w:val="0"/>
          <w:sz w:val="28"/>
          <w:szCs w:val="28"/>
          <w:shd w:val="clear" w:color="auto" w:fill="FFFFFF"/>
        </w:rPr>
        <w:t>100</w:t>
      </w:r>
      <w:r>
        <w:rPr>
          <w:rFonts w:ascii="Times New Roman" w:eastAsia="楷体" w:hAnsi="Times New Roman"/>
          <w:bCs/>
          <w:color w:val="333333"/>
          <w:kern w:val="0"/>
          <w:sz w:val="28"/>
          <w:szCs w:val="28"/>
          <w:shd w:val="clear" w:color="auto" w:fill="FFFFFF"/>
        </w:rPr>
        <w:t>万条，畅通群众监督渠道，健全完善举报奖励工作机制。四是积极开展打击欺诈骗取医疗保障基金专项行动。持续开展</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回头看</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，加大飞检力度。</w:t>
      </w:r>
      <w:r>
        <w:rPr>
          <w:rFonts w:ascii="Times New Roman" w:eastAsia="楷体" w:hAnsi="Times New Roman"/>
          <w:bCs/>
          <w:color w:val="333333"/>
          <w:kern w:val="0"/>
          <w:sz w:val="28"/>
          <w:szCs w:val="28"/>
          <w:shd w:val="clear" w:color="auto" w:fill="FFFFFF"/>
        </w:rPr>
        <w:t>2020</w:t>
      </w:r>
      <w:r>
        <w:rPr>
          <w:rFonts w:ascii="Times New Roman" w:eastAsia="楷体" w:hAnsi="Times New Roman"/>
          <w:bCs/>
          <w:color w:val="333333"/>
          <w:kern w:val="0"/>
          <w:sz w:val="28"/>
          <w:szCs w:val="28"/>
          <w:shd w:val="clear" w:color="auto" w:fill="FFFFFF"/>
        </w:rPr>
        <w:t>年全州暂停医保服务</w:t>
      </w:r>
      <w:r>
        <w:rPr>
          <w:rFonts w:ascii="Times New Roman" w:eastAsia="楷体" w:hAnsi="Times New Roman"/>
          <w:bCs/>
          <w:color w:val="333333"/>
          <w:kern w:val="0"/>
          <w:sz w:val="28"/>
          <w:szCs w:val="28"/>
          <w:shd w:val="clear" w:color="auto" w:fill="FFFFFF"/>
        </w:rPr>
        <w:t>17</w:t>
      </w:r>
      <w:r>
        <w:rPr>
          <w:rFonts w:ascii="Times New Roman" w:eastAsia="楷体" w:hAnsi="Times New Roman"/>
          <w:bCs/>
          <w:color w:val="333333"/>
          <w:kern w:val="0"/>
          <w:sz w:val="28"/>
          <w:szCs w:val="28"/>
          <w:shd w:val="clear" w:color="auto" w:fill="FFFFFF"/>
        </w:rPr>
        <w:t>家，共拒付医保基金</w:t>
      </w:r>
      <w:r>
        <w:rPr>
          <w:rFonts w:ascii="Times New Roman" w:eastAsia="楷体" w:hAnsi="Times New Roman"/>
          <w:bCs/>
          <w:color w:val="333333"/>
          <w:kern w:val="0"/>
          <w:sz w:val="28"/>
          <w:szCs w:val="28"/>
          <w:shd w:val="clear" w:color="auto" w:fill="FFFFFF"/>
        </w:rPr>
        <w:t>1913.93</w:t>
      </w:r>
      <w:r>
        <w:rPr>
          <w:rFonts w:ascii="Times New Roman" w:eastAsia="楷体" w:hAnsi="Times New Roman"/>
          <w:bCs/>
          <w:color w:val="333333"/>
          <w:kern w:val="0"/>
          <w:sz w:val="28"/>
          <w:szCs w:val="28"/>
          <w:shd w:val="clear" w:color="auto" w:fill="FFFFFF"/>
        </w:rPr>
        <w:t>万元，处行政处罚</w:t>
      </w:r>
      <w:r>
        <w:rPr>
          <w:rFonts w:ascii="Times New Roman" w:eastAsia="楷体" w:hAnsi="Times New Roman"/>
          <w:bCs/>
          <w:color w:val="333333"/>
          <w:kern w:val="0"/>
          <w:sz w:val="28"/>
          <w:szCs w:val="28"/>
          <w:shd w:val="clear" w:color="auto" w:fill="FFFFFF"/>
        </w:rPr>
        <w:t>300.62</w:t>
      </w:r>
      <w:r>
        <w:rPr>
          <w:rFonts w:ascii="Times New Roman" w:eastAsia="楷体" w:hAnsi="Times New Roman"/>
          <w:bCs/>
          <w:color w:val="333333"/>
          <w:kern w:val="0"/>
          <w:sz w:val="28"/>
          <w:szCs w:val="28"/>
          <w:shd w:val="clear" w:color="auto" w:fill="FFFFFF"/>
        </w:rPr>
        <w:t>万元。基金安全监管</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前哨</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作用日益凸显，医药机构不敢骗、不想骗、不愿骗的监管格局初步形成。</w:t>
      </w:r>
    </w:p>
    <w:p w:rsidR="0057447D" w:rsidRDefault="007A4AFA">
      <w:pPr>
        <w:widowControl/>
        <w:spacing w:line="620" w:lineRule="exact"/>
        <w:ind w:firstLine="562"/>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7</w:t>
      </w:r>
      <w:r>
        <w:rPr>
          <w:rFonts w:ascii="Times New Roman" w:eastAsia="楷体" w:hAnsi="Times New Roman"/>
          <w:bCs/>
          <w:color w:val="333333"/>
          <w:kern w:val="0"/>
          <w:sz w:val="28"/>
          <w:szCs w:val="28"/>
          <w:shd w:val="clear" w:color="auto" w:fill="FFFFFF"/>
        </w:rPr>
        <w:t>、转作风，优服务，经办服务能力进一步提升</w:t>
      </w:r>
    </w:p>
    <w:p w:rsidR="0057447D" w:rsidRDefault="007A4AFA">
      <w:pPr>
        <w:widowControl/>
        <w:spacing w:line="620" w:lineRule="exact"/>
        <w:ind w:firstLine="562"/>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t>一是开通</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网上办</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。取消春节假期，设立经办服务值班窗口，开通经办服务绿色通道，按照特事特办原则采取</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网上办</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掌上办</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等不见面办理，为群众提供方便快捷、优质高效的医疗保险经办服务。二是推进</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一次办</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。优化经办服务事项，梳理</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一件事一次办</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，面向服务对象制定</w:t>
      </w:r>
      <w:r>
        <w:rPr>
          <w:rFonts w:ascii="Times New Roman" w:eastAsia="楷体" w:hAnsi="Times New Roman"/>
          <w:bCs/>
          <w:color w:val="333333"/>
          <w:kern w:val="0"/>
          <w:sz w:val="28"/>
          <w:szCs w:val="28"/>
          <w:shd w:val="clear" w:color="auto" w:fill="FFFFFF"/>
        </w:rPr>
        <w:t>33</w:t>
      </w:r>
      <w:r>
        <w:rPr>
          <w:rFonts w:ascii="Times New Roman" w:eastAsia="楷体" w:hAnsi="Times New Roman"/>
          <w:bCs/>
          <w:color w:val="333333"/>
          <w:kern w:val="0"/>
          <w:sz w:val="28"/>
          <w:szCs w:val="28"/>
          <w:shd w:val="clear" w:color="auto" w:fill="FFFFFF"/>
        </w:rPr>
        <w:t>项精准优化服务措施。三是积极抓好放管服改革、重点领域改革、智慧湘西年度建设任务。大力推进政府信息</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五公开</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、政务中心</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三进</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工作，进一步完善医疗保险</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互联网</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政务服务</w:t>
      </w:r>
      <w:r>
        <w:rPr>
          <w:rFonts w:ascii="Times New Roman" w:eastAsia="楷体" w:hAnsi="Times New Roman"/>
          <w:bCs/>
          <w:color w:val="333333"/>
          <w:kern w:val="0"/>
          <w:sz w:val="28"/>
          <w:szCs w:val="28"/>
          <w:shd w:val="clear" w:color="auto" w:fill="FFFFFF"/>
        </w:rPr>
        <w:t>”</w:t>
      </w:r>
      <w:r>
        <w:rPr>
          <w:rFonts w:ascii="Times New Roman" w:eastAsia="楷体" w:hAnsi="Times New Roman"/>
          <w:bCs/>
          <w:color w:val="333333"/>
          <w:kern w:val="0"/>
          <w:sz w:val="28"/>
          <w:szCs w:val="28"/>
          <w:shd w:val="clear" w:color="auto" w:fill="FFFFFF"/>
        </w:rPr>
        <w:t>一体化平台的应用系统。四是全力推进异地就医联网结算工作。全州已有</w:t>
      </w:r>
      <w:r>
        <w:rPr>
          <w:rFonts w:ascii="Times New Roman" w:eastAsia="楷体" w:hAnsi="Times New Roman"/>
          <w:bCs/>
          <w:color w:val="333333"/>
          <w:kern w:val="0"/>
          <w:sz w:val="28"/>
          <w:szCs w:val="28"/>
          <w:shd w:val="clear" w:color="auto" w:fill="FFFFFF"/>
        </w:rPr>
        <w:t>17</w:t>
      </w:r>
      <w:r>
        <w:rPr>
          <w:rFonts w:ascii="Times New Roman" w:eastAsia="楷体" w:hAnsi="Times New Roman"/>
          <w:bCs/>
          <w:color w:val="333333"/>
          <w:kern w:val="0"/>
          <w:sz w:val="28"/>
          <w:szCs w:val="28"/>
          <w:shd w:val="clear" w:color="auto" w:fill="FFFFFF"/>
        </w:rPr>
        <w:t>家医疗机构开通了跨省异地就医直接联网结算业务，同时开通了省内州外、州内跨县异地就医联网结算业务。已开通州内跨县定点医院和协议药店</w:t>
      </w:r>
      <w:r>
        <w:rPr>
          <w:rFonts w:ascii="Times New Roman" w:eastAsia="楷体" w:hAnsi="Times New Roman"/>
          <w:bCs/>
          <w:color w:val="333333"/>
          <w:kern w:val="0"/>
          <w:sz w:val="28"/>
          <w:szCs w:val="28"/>
          <w:shd w:val="clear" w:color="auto" w:fill="FFFFFF"/>
        </w:rPr>
        <w:t>66</w:t>
      </w:r>
      <w:r>
        <w:rPr>
          <w:rFonts w:ascii="Times New Roman" w:eastAsia="楷体" w:hAnsi="Times New Roman"/>
          <w:bCs/>
          <w:color w:val="333333"/>
          <w:kern w:val="0"/>
          <w:sz w:val="28"/>
          <w:szCs w:val="28"/>
          <w:shd w:val="clear" w:color="auto" w:fill="FFFFFF"/>
        </w:rPr>
        <w:t>家。</w:t>
      </w:r>
      <w:r>
        <w:rPr>
          <w:rFonts w:ascii="Times New Roman" w:eastAsia="楷体" w:hAnsi="Times New Roman"/>
          <w:bCs/>
          <w:color w:val="333333"/>
          <w:kern w:val="0"/>
          <w:sz w:val="28"/>
          <w:szCs w:val="28"/>
          <w:shd w:val="clear" w:color="auto" w:fill="FFFFFF"/>
        </w:rPr>
        <w:t>2020</w:t>
      </w:r>
      <w:r>
        <w:rPr>
          <w:rFonts w:ascii="Times New Roman" w:eastAsia="楷体" w:hAnsi="Times New Roman"/>
          <w:bCs/>
          <w:color w:val="333333"/>
          <w:kern w:val="0"/>
          <w:sz w:val="28"/>
          <w:szCs w:val="28"/>
          <w:shd w:val="clear" w:color="auto" w:fill="FFFFFF"/>
        </w:rPr>
        <w:t>年全州跨省异地就医新增有效备案</w:t>
      </w:r>
      <w:r>
        <w:rPr>
          <w:rFonts w:ascii="Times New Roman" w:eastAsia="楷体" w:hAnsi="Times New Roman"/>
          <w:bCs/>
          <w:color w:val="333333"/>
          <w:kern w:val="0"/>
          <w:sz w:val="28"/>
          <w:szCs w:val="28"/>
          <w:shd w:val="clear" w:color="auto" w:fill="FFFFFF"/>
        </w:rPr>
        <w:t>982</w:t>
      </w:r>
      <w:r>
        <w:rPr>
          <w:rFonts w:ascii="Times New Roman" w:eastAsia="楷体" w:hAnsi="Times New Roman"/>
          <w:bCs/>
          <w:color w:val="333333"/>
          <w:kern w:val="0"/>
          <w:sz w:val="28"/>
          <w:szCs w:val="28"/>
          <w:shd w:val="clear" w:color="auto" w:fill="FFFFFF"/>
        </w:rPr>
        <w:t>人次，全州跨省异地就医转出就医</w:t>
      </w:r>
      <w:r>
        <w:rPr>
          <w:rFonts w:ascii="Times New Roman" w:eastAsia="楷体" w:hAnsi="Times New Roman"/>
          <w:bCs/>
          <w:color w:val="333333"/>
          <w:kern w:val="0"/>
          <w:sz w:val="28"/>
          <w:szCs w:val="28"/>
          <w:shd w:val="clear" w:color="auto" w:fill="FFFFFF"/>
        </w:rPr>
        <w:t>969</w:t>
      </w:r>
      <w:r>
        <w:rPr>
          <w:rFonts w:ascii="Times New Roman" w:eastAsia="楷体" w:hAnsi="Times New Roman"/>
          <w:bCs/>
          <w:color w:val="333333"/>
          <w:kern w:val="0"/>
          <w:sz w:val="28"/>
          <w:szCs w:val="28"/>
          <w:shd w:val="clear" w:color="auto" w:fill="FFFFFF"/>
        </w:rPr>
        <w:t>人次，总费用</w:t>
      </w:r>
      <w:r>
        <w:rPr>
          <w:rFonts w:ascii="Times New Roman" w:eastAsia="楷体" w:hAnsi="Times New Roman"/>
          <w:bCs/>
          <w:color w:val="333333"/>
          <w:kern w:val="0"/>
          <w:sz w:val="28"/>
          <w:szCs w:val="28"/>
          <w:shd w:val="clear" w:color="auto" w:fill="FFFFFF"/>
        </w:rPr>
        <w:t>2541.83</w:t>
      </w:r>
      <w:r>
        <w:rPr>
          <w:rFonts w:ascii="Times New Roman" w:eastAsia="楷体" w:hAnsi="Times New Roman"/>
          <w:bCs/>
          <w:color w:val="333333"/>
          <w:kern w:val="0"/>
          <w:sz w:val="28"/>
          <w:szCs w:val="28"/>
          <w:shd w:val="clear" w:color="auto" w:fill="FFFFFF"/>
        </w:rPr>
        <w:t>万元，全州城镇职工省内异地就医转出</w:t>
      </w:r>
      <w:r>
        <w:rPr>
          <w:rFonts w:ascii="Times New Roman" w:eastAsia="楷体" w:hAnsi="Times New Roman"/>
          <w:bCs/>
          <w:color w:val="333333"/>
          <w:kern w:val="0"/>
          <w:sz w:val="28"/>
          <w:szCs w:val="28"/>
          <w:shd w:val="clear" w:color="auto" w:fill="FFFFFF"/>
        </w:rPr>
        <w:t>4265</w:t>
      </w:r>
      <w:r>
        <w:rPr>
          <w:rFonts w:ascii="Times New Roman" w:eastAsia="楷体" w:hAnsi="Times New Roman"/>
          <w:bCs/>
          <w:color w:val="333333"/>
          <w:kern w:val="0"/>
          <w:sz w:val="28"/>
          <w:szCs w:val="28"/>
          <w:shd w:val="clear" w:color="auto" w:fill="FFFFFF"/>
        </w:rPr>
        <w:t>人次，总费用</w:t>
      </w:r>
      <w:r>
        <w:rPr>
          <w:rFonts w:ascii="Times New Roman" w:eastAsia="楷体" w:hAnsi="Times New Roman"/>
          <w:bCs/>
          <w:color w:val="333333"/>
          <w:kern w:val="0"/>
          <w:sz w:val="28"/>
          <w:szCs w:val="28"/>
          <w:shd w:val="clear" w:color="auto" w:fill="FFFFFF"/>
        </w:rPr>
        <w:t>10154.26</w:t>
      </w:r>
      <w:r>
        <w:rPr>
          <w:rFonts w:ascii="Times New Roman" w:eastAsia="楷体" w:hAnsi="Times New Roman"/>
          <w:bCs/>
          <w:color w:val="333333"/>
          <w:kern w:val="0"/>
          <w:sz w:val="28"/>
          <w:szCs w:val="28"/>
          <w:shd w:val="clear" w:color="auto" w:fill="FFFFFF"/>
        </w:rPr>
        <w:t>万元。</w:t>
      </w:r>
    </w:p>
    <w:p w:rsidR="0057447D" w:rsidRDefault="007A4AFA" w:rsidP="00D80294">
      <w:pPr>
        <w:widowControl/>
        <w:spacing w:line="680" w:lineRule="exact"/>
        <w:ind w:firstLineChars="200" w:firstLine="560"/>
        <w:rPr>
          <w:rFonts w:ascii="Times New Roman" w:eastAsia="楷体" w:hAnsi="Times New Roman"/>
          <w:bCs/>
          <w:color w:val="333333"/>
          <w:kern w:val="0"/>
          <w:sz w:val="28"/>
          <w:szCs w:val="28"/>
          <w:shd w:val="clear" w:color="auto" w:fill="FFFFFF"/>
        </w:rPr>
      </w:pPr>
      <w:r>
        <w:rPr>
          <w:rFonts w:ascii="Times New Roman" w:eastAsia="楷体" w:hAnsi="Times New Roman"/>
          <w:bCs/>
          <w:color w:val="333333"/>
          <w:kern w:val="0"/>
          <w:sz w:val="28"/>
          <w:szCs w:val="28"/>
          <w:shd w:val="clear" w:color="auto" w:fill="FFFFFF"/>
        </w:rPr>
        <w:lastRenderedPageBreak/>
        <w:t>8</w:t>
      </w:r>
      <w:r>
        <w:rPr>
          <w:rFonts w:ascii="Times New Roman" w:eastAsia="楷体" w:hAnsi="Times New Roman"/>
          <w:bCs/>
          <w:color w:val="333333"/>
          <w:kern w:val="0"/>
          <w:sz w:val="28"/>
          <w:szCs w:val="28"/>
          <w:shd w:val="clear" w:color="auto" w:fill="FFFFFF"/>
        </w:rPr>
        <w:t>、加强学习，健全组织，党建工作再上新台阶</w:t>
      </w:r>
    </w:p>
    <w:p w:rsidR="0057447D" w:rsidRDefault="007A4AFA">
      <w:pPr>
        <w:widowControl/>
        <w:spacing w:line="680" w:lineRule="exact"/>
        <w:ind w:firstLine="562"/>
        <w:rPr>
          <w:rFonts w:ascii="Times New Roman" w:eastAsia="楷体_GB2312" w:hAnsi="Times New Roman"/>
          <w:bCs/>
          <w:color w:val="333333"/>
          <w:kern w:val="0"/>
          <w:sz w:val="28"/>
          <w:szCs w:val="28"/>
          <w:shd w:val="clear" w:color="auto" w:fill="FFFFFF"/>
        </w:rPr>
      </w:pPr>
      <w:r>
        <w:rPr>
          <w:rFonts w:ascii="Times New Roman" w:eastAsia="楷体_GB2312" w:hAnsi="Times New Roman"/>
          <w:bCs/>
          <w:color w:val="333333"/>
          <w:kern w:val="0"/>
          <w:sz w:val="28"/>
          <w:szCs w:val="28"/>
          <w:shd w:val="clear" w:color="auto" w:fill="FFFFFF"/>
        </w:rPr>
        <w:t>一是注重领导班子建设。加强党建工作部署，研究制定《</w:t>
      </w:r>
      <w:r>
        <w:rPr>
          <w:rFonts w:ascii="Times New Roman" w:eastAsia="楷体_GB2312" w:hAnsi="Times New Roman"/>
          <w:bCs/>
          <w:color w:val="333333"/>
          <w:kern w:val="0"/>
          <w:sz w:val="28"/>
          <w:szCs w:val="28"/>
          <w:shd w:val="clear" w:color="auto" w:fill="FFFFFF"/>
        </w:rPr>
        <w:t>2020</w:t>
      </w:r>
      <w:r>
        <w:rPr>
          <w:rFonts w:ascii="Times New Roman" w:eastAsia="楷体_GB2312" w:hAnsi="Times New Roman"/>
          <w:bCs/>
          <w:color w:val="333333"/>
          <w:kern w:val="0"/>
          <w:sz w:val="28"/>
          <w:szCs w:val="28"/>
          <w:shd w:val="clear" w:color="auto" w:fill="FFFFFF"/>
        </w:rPr>
        <w:t>年湘西自治州医疗保障局党建工作要点》，明确了工作思路和重点，切实加强党建工作领导。二是强化服务意识，充分发挥先锋模范作用。开展机关党建</w:t>
      </w:r>
      <w:r>
        <w:rPr>
          <w:rFonts w:ascii="Times New Roman" w:eastAsia="楷体_GB2312" w:hAnsi="Times New Roman"/>
          <w:bCs/>
          <w:color w:val="333333"/>
          <w:kern w:val="0"/>
          <w:sz w:val="28"/>
          <w:szCs w:val="28"/>
          <w:shd w:val="clear" w:color="auto" w:fill="FFFFFF"/>
        </w:rPr>
        <w:t>1+1</w:t>
      </w:r>
      <w:r>
        <w:rPr>
          <w:rFonts w:ascii="Times New Roman" w:eastAsia="楷体_GB2312" w:hAnsi="Times New Roman"/>
          <w:bCs/>
          <w:color w:val="333333"/>
          <w:kern w:val="0"/>
          <w:sz w:val="28"/>
          <w:szCs w:val="28"/>
          <w:shd w:val="clear" w:color="auto" w:fill="FFFFFF"/>
        </w:rPr>
        <w:t>促</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互助五兴</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活动。组织全体党员、帮扶干部入村开展活动</w:t>
      </w:r>
      <w:r>
        <w:rPr>
          <w:rFonts w:ascii="Times New Roman" w:eastAsia="楷体_GB2312" w:hAnsi="Times New Roman"/>
          <w:bCs/>
          <w:color w:val="333333"/>
          <w:kern w:val="0"/>
          <w:sz w:val="28"/>
          <w:szCs w:val="28"/>
          <w:shd w:val="clear" w:color="auto" w:fill="FFFFFF"/>
        </w:rPr>
        <w:t>12</w:t>
      </w:r>
      <w:r>
        <w:rPr>
          <w:rFonts w:ascii="Times New Roman" w:eastAsia="楷体_GB2312" w:hAnsi="Times New Roman"/>
          <w:bCs/>
          <w:color w:val="333333"/>
          <w:kern w:val="0"/>
          <w:sz w:val="28"/>
          <w:szCs w:val="28"/>
          <w:shd w:val="clear" w:color="auto" w:fill="FFFFFF"/>
        </w:rPr>
        <w:t>次，局党组班子到扶贫村开展现场办公</w:t>
      </w:r>
      <w:r>
        <w:rPr>
          <w:rFonts w:ascii="Times New Roman" w:eastAsia="楷体_GB2312" w:hAnsi="Times New Roman"/>
          <w:bCs/>
          <w:color w:val="333333"/>
          <w:kern w:val="0"/>
          <w:sz w:val="28"/>
          <w:szCs w:val="28"/>
          <w:shd w:val="clear" w:color="auto" w:fill="FFFFFF"/>
        </w:rPr>
        <w:t>4</w:t>
      </w:r>
      <w:r>
        <w:rPr>
          <w:rFonts w:ascii="Times New Roman" w:eastAsia="楷体_GB2312" w:hAnsi="Times New Roman"/>
          <w:bCs/>
          <w:color w:val="333333"/>
          <w:kern w:val="0"/>
          <w:sz w:val="28"/>
          <w:szCs w:val="28"/>
          <w:shd w:val="clear" w:color="auto" w:fill="FFFFFF"/>
        </w:rPr>
        <w:t>次，为扶贫村及工作队解决了实际问题，为迎接上级检查奠定了扎实的基础。开展</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五联五进</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社区共建共治活动。</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七一</w:t>
      </w:r>
      <w:r>
        <w:rPr>
          <w:rFonts w:ascii="Times New Roman" w:eastAsia="楷体_GB2312" w:hAnsi="Times New Roman"/>
          <w:bCs/>
          <w:color w:val="333333"/>
          <w:kern w:val="0"/>
          <w:sz w:val="28"/>
          <w:szCs w:val="28"/>
          <w:shd w:val="clear" w:color="auto" w:fill="FFFFFF"/>
        </w:rPr>
        <w:t>”</w:t>
      </w:r>
      <w:r>
        <w:rPr>
          <w:rFonts w:ascii="Times New Roman" w:eastAsia="楷体_GB2312" w:hAnsi="Times New Roman"/>
          <w:bCs/>
          <w:color w:val="333333"/>
          <w:kern w:val="0"/>
          <w:sz w:val="28"/>
          <w:szCs w:val="28"/>
          <w:shd w:val="clear" w:color="auto" w:fill="FFFFFF"/>
        </w:rPr>
        <w:t>前夕对社区困难职工、困难党员及</w:t>
      </w:r>
      <w:r>
        <w:rPr>
          <w:rFonts w:ascii="Times New Roman" w:eastAsia="楷体_GB2312" w:hAnsi="Times New Roman"/>
          <w:bCs/>
          <w:color w:val="333333"/>
          <w:kern w:val="0"/>
          <w:sz w:val="28"/>
          <w:szCs w:val="28"/>
          <w:shd w:val="clear" w:color="auto" w:fill="FFFFFF"/>
        </w:rPr>
        <w:t>80</w:t>
      </w:r>
      <w:r>
        <w:rPr>
          <w:rFonts w:ascii="Times New Roman" w:eastAsia="楷体_GB2312" w:hAnsi="Times New Roman"/>
          <w:bCs/>
          <w:color w:val="333333"/>
          <w:kern w:val="0"/>
          <w:sz w:val="28"/>
          <w:szCs w:val="28"/>
          <w:shd w:val="clear" w:color="auto" w:fill="FFFFFF"/>
        </w:rPr>
        <w:t>岁以上老同志进行慰问活动，开展社区共建活动，为不断促进党内和谐传递了正能量。三是落实意识形态工作责任制情况。按期完成理论学习任务，截至</w:t>
      </w:r>
      <w:r>
        <w:rPr>
          <w:rFonts w:ascii="Times New Roman" w:eastAsia="楷体_GB2312" w:hAnsi="Times New Roman"/>
          <w:bCs/>
          <w:color w:val="333333"/>
          <w:kern w:val="0"/>
          <w:sz w:val="28"/>
          <w:szCs w:val="28"/>
          <w:shd w:val="clear" w:color="auto" w:fill="FFFFFF"/>
        </w:rPr>
        <w:t>12</w:t>
      </w:r>
      <w:r>
        <w:rPr>
          <w:rFonts w:ascii="Times New Roman" w:eastAsia="楷体_GB2312" w:hAnsi="Times New Roman"/>
          <w:bCs/>
          <w:color w:val="333333"/>
          <w:kern w:val="0"/>
          <w:sz w:val="28"/>
          <w:szCs w:val="28"/>
          <w:shd w:val="clear" w:color="auto" w:fill="FFFFFF"/>
        </w:rPr>
        <w:t>月</w:t>
      </w:r>
      <w:r>
        <w:rPr>
          <w:rFonts w:ascii="Times New Roman" w:eastAsia="楷体_GB2312" w:hAnsi="Times New Roman"/>
          <w:bCs/>
          <w:color w:val="333333"/>
          <w:kern w:val="0"/>
          <w:sz w:val="28"/>
          <w:szCs w:val="28"/>
          <w:shd w:val="clear" w:color="auto" w:fill="FFFFFF"/>
        </w:rPr>
        <w:t>15</w:t>
      </w:r>
      <w:r>
        <w:rPr>
          <w:rFonts w:ascii="Times New Roman" w:eastAsia="楷体_GB2312" w:hAnsi="Times New Roman"/>
          <w:bCs/>
          <w:color w:val="333333"/>
          <w:kern w:val="0"/>
          <w:sz w:val="28"/>
          <w:szCs w:val="28"/>
          <w:shd w:val="clear" w:color="auto" w:fill="FFFFFF"/>
        </w:rPr>
        <w:t>日共组织党组理论学习中心组（扩大）学习</w:t>
      </w:r>
      <w:r>
        <w:rPr>
          <w:rFonts w:ascii="Times New Roman" w:eastAsia="楷体_GB2312" w:hAnsi="Times New Roman"/>
          <w:bCs/>
          <w:color w:val="333333"/>
          <w:kern w:val="0"/>
          <w:sz w:val="28"/>
          <w:szCs w:val="28"/>
          <w:shd w:val="clear" w:color="auto" w:fill="FFFFFF"/>
        </w:rPr>
        <w:t>11</w:t>
      </w:r>
      <w:r>
        <w:rPr>
          <w:rFonts w:ascii="Times New Roman" w:eastAsia="楷体_GB2312" w:hAnsi="Times New Roman"/>
          <w:bCs/>
          <w:color w:val="333333"/>
          <w:kern w:val="0"/>
          <w:sz w:val="28"/>
          <w:szCs w:val="28"/>
          <w:shd w:val="clear" w:color="auto" w:fill="FFFFFF"/>
        </w:rPr>
        <w:t>次，周五集中学习</w:t>
      </w:r>
      <w:r>
        <w:rPr>
          <w:rFonts w:ascii="Times New Roman" w:eastAsia="楷体_GB2312" w:hAnsi="Times New Roman"/>
          <w:bCs/>
          <w:color w:val="333333"/>
          <w:kern w:val="0"/>
          <w:sz w:val="28"/>
          <w:szCs w:val="28"/>
          <w:shd w:val="clear" w:color="auto" w:fill="FFFFFF"/>
        </w:rPr>
        <w:t>26</w:t>
      </w:r>
      <w:r>
        <w:rPr>
          <w:rFonts w:ascii="Times New Roman" w:eastAsia="楷体_GB2312" w:hAnsi="Times New Roman"/>
          <w:bCs/>
          <w:color w:val="333333"/>
          <w:kern w:val="0"/>
          <w:sz w:val="28"/>
          <w:szCs w:val="28"/>
          <w:shd w:val="clear" w:color="auto" w:fill="FFFFFF"/>
        </w:rPr>
        <w:t>次，局党组书记上党课</w:t>
      </w:r>
      <w:r>
        <w:rPr>
          <w:rFonts w:ascii="Times New Roman" w:eastAsia="楷体_GB2312" w:hAnsi="Times New Roman"/>
          <w:bCs/>
          <w:color w:val="333333"/>
          <w:kern w:val="0"/>
          <w:sz w:val="28"/>
          <w:szCs w:val="28"/>
          <w:shd w:val="clear" w:color="auto" w:fill="FFFFFF"/>
        </w:rPr>
        <w:t>2</w:t>
      </w:r>
      <w:r>
        <w:rPr>
          <w:rFonts w:ascii="Times New Roman" w:eastAsia="楷体_GB2312" w:hAnsi="Times New Roman"/>
          <w:bCs/>
          <w:color w:val="333333"/>
          <w:kern w:val="0"/>
          <w:sz w:val="28"/>
          <w:szCs w:val="28"/>
          <w:shd w:val="clear" w:color="auto" w:fill="FFFFFF"/>
        </w:rPr>
        <w:t>次。组织党员干部开展观看电影《半条棉被》。</w:t>
      </w:r>
      <w:r>
        <w:rPr>
          <w:rFonts w:ascii="Times New Roman" w:eastAsia="楷体_GB2312" w:hAnsi="Times New Roman"/>
          <w:bCs/>
          <w:color w:val="333333"/>
          <w:kern w:val="0"/>
          <w:sz w:val="28"/>
          <w:szCs w:val="28"/>
          <w:shd w:val="clear" w:color="auto" w:fill="FFFFFF"/>
        </w:rPr>
        <w:t>12</w:t>
      </w:r>
      <w:r>
        <w:rPr>
          <w:rFonts w:ascii="Times New Roman" w:eastAsia="楷体_GB2312" w:hAnsi="Times New Roman"/>
          <w:bCs/>
          <w:color w:val="333333"/>
          <w:kern w:val="0"/>
          <w:sz w:val="28"/>
          <w:szCs w:val="28"/>
          <w:shd w:val="clear" w:color="auto" w:fill="FFFFFF"/>
        </w:rPr>
        <w:t>月</w:t>
      </w:r>
      <w:r>
        <w:rPr>
          <w:rFonts w:ascii="Times New Roman" w:eastAsia="楷体_GB2312" w:hAnsi="Times New Roman"/>
          <w:bCs/>
          <w:color w:val="333333"/>
          <w:kern w:val="0"/>
          <w:sz w:val="28"/>
          <w:szCs w:val="28"/>
          <w:shd w:val="clear" w:color="auto" w:fill="FFFFFF"/>
        </w:rPr>
        <w:t>14</w:t>
      </w:r>
      <w:r>
        <w:rPr>
          <w:rFonts w:ascii="Times New Roman" w:eastAsia="楷体_GB2312" w:hAnsi="Times New Roman"/>
          <w:bCs/>
          <w:color w:val="333333"/>
          <w:kern w:val="0"/>
          <w:sz w:val="28"/>
          <w:szCs w:val="28"/>
          <w:shd w:val="clear" w:color="auto" w:fill="FFFFFF"/>
        </w:rPr>
        <w:t>日召开学习贯彻党的十九届五中全会精神宣讲报告会，由州委宣讲团成员、局党组书记、局长向忠作宣讲报告。四是健全组织架构。</w:t>
      </w:r>
      <w:r>
        <w:rPr>
          <w:rFonts w:ascii="Times New Roman" w:eastAsia="楷体_GB2312" w:hAnsi="Times New Roman"/>
          <w:bCs/>
          <w:color w:val="333333"/>
          <w:kern w:val="0"/>
          <w:sz w:val="28"/>
          <w:szCs w:val="28"/>
          <w:shd w:val="clear" w:color="auto" w:fill="FFFFFF"/>
        </w:rPr>
        <w:t>3</w:t>
      </w:r>
      <w:r>
        <w:rPr>
          <w:rFonts w:ascii="Times New Roman" w:eastAsia="楷体_GB2312" w:hAnsi="Times New Roman"/>
          <w:bCs/>
          <w:color w:val="333333"/>
          <w:kern w:val="0"/>
          <w:sz w:val="28"/>
          <w:szCs w:val="28"/>
          <w:shd w:val="clear" w:color="auto" w:fill="FFFFFF"/>
        </w:rPr>
        <w:t>月</w:t>
      </w:r>
      <w:r>
        <w:rPr>
          <w:rFonts w:ascii="Times New Roman" w:eastAsia="楷体_GB2312" w:hAnsi="Times New Roman"/>
          <w:bCs/>
          <w:color w:val="333333"/>
          <w:kern w:val="0"/>
          <w:sz w:val="28"/>
          <w:szCs w:val="28"/>
          <w:shd w:val="clear" w:color="auto" w:fill="FFFFFF"/>
        </w:rPr>
        <w:t>12</w:t>
      </w:r>
      <w:r>
        <w:rPr>
          <w:rFonts w:ascii="Times New Roman" w:eastAsia="楷体_GB2312" w:hAnsi="Times New Roman"/>
          <w:bCs/>
          <w:color w:val="333333"/>
          <w:kern w:val="0"/>
          <w:sz w:val="28"/>
          <w:szCs w:val="28"/>
          <w:shd w:val="clear" w:color="auto" w:fill="FFFFFF"/>
        </w:rPr>
        <w:t>日中共湘西自治州医疗保障局机关总支部委员会成立，</w:t>
      </w:r>
      <w:r>
        <w:rPr>
          <w:rFonts w:ascii="Times New Roman" w:eastAsia="楷体_GB2312" w:hAnsi="Times New Roman"/>
          <w:bCs/>
          <w:color w:val="333333"/>
          <w:kern w:val="0"/>
          <w:sz w:val="28"/>
          <w:szCs w:val="28"/>
          <w:shd w:val="clear" w:color="auto" w:fill="FFFFFF"/>
        </w:rPr>
        <w:t>11</w:t>
      </w:r>
      <w:r>
        <w:rPr>
          <w:rFonts w:ascii="Times New Roman" w:eastAsia="楷体_GB2312" w:hAnsi="Times New Roman"/>
          <w:bCs/>
          <w:color w:val="333333"/>
          <w:kern w:val="0"/>
          <w:sz w:val="28"/>
          <w:szCs w:val="28"/>
          <w:shd w:val="clear" w:color="auto" w:fill="FFFFFF"/>
        </w:rPr>
        <w:t>月</w:t>
      </w:r>
      <w:r>
        <w:rPr>
          <w:rFonts w:ascii="Times New Roman" w:eastAsia="楷体_GB2312" w:hAnsi="Times New Roman"/>
          <w:bCs/>
          <w:color w:val="333333"/>
          <w:kern w:val="0"/>
          <w:sz w:val="28"/>
          <w:szCs w:val="28"/>
          <w:shd w:val="clear" w:color="auto" w:fill="FFFFFF"/>
        </w:rPr>
        <w:t>26</w:t>
      </w:r>
      <w:r>
        <w:rPr>
          <w:rFonts w:ascii="Times New Roman" w:eastAsia="楷体_GB2312" w:hAnsi="Times New Roman"/>
          <w:bCs/>
          <w:color w:val="333333"/>
          <w:kern w:val="0"/>
          <w:sz w:val="28"/>
          <w:szCs w:val="28"/>
          <w:shd w:val="clear" w:color="auto" w:fill="FFFFFF"/>
        </w:rPr>
        <w:t>日组织指导州医疗保障事务中心召开州医疗保障事务中心党支部成立大会暨第一次党员大会，选举产生了州医疗保障事务中心党支部第一届委员会委员、书记和副书记。五是迅速开展反馈意见整改落实工作。全面完成州委巡察组反馈意见的整改落实和州委政治建设考察的自查自评。</w:t>
      </w:r>
    </w:p>
    <w:p w:rsidR="0057447D" w:rsidRDefault="007A4AFA">
      <w:pPr>
        <w:widowControl/>
        <w:spacing w:line="640" w:lineRule="exact"/>
        <w:ind w:firstLine="562"/>
        <w:rPr>
          <w:rFonts w:ascii="Times New Roman" w:eastAsia="楷体_GB2312" w:hAnsi="Times New Roman"/>
          <w:b/>
          <w:color w:val="333333"/>
          <w:kern w:val="0"/>
          <w:sz w:val="28"/>
          <w:szCs w:val="28"/>
          <w:shd w:val="clear" w:color="auto" w:fill="FFFFFF"/>
        </w:rPr>
      </w:pPr>
      <w:r>
        <w:rPr>
          <w:rFonts w:ascii="Times New Roman" w:eastAsia="楷体_GB2312" w:hAnsi="Times New Roman"/>
          <w:b/>
          <w:color w:val="333333"/>
          <w:kern w:val="0"/>
          <w:sz w:val="28"/>
          <w:szCs w:val="28"/>
          <w:shd w:val="clear" w:color="auto" w:fill="FFFFFF"/>
        </w:rPr>
        <w:lastRenderedPageBreak/>
        <w:t>七、综合评价情况及评价结论</w:t>
      </w:r>
    </w:p>
    <w:p w:rsidR="0057447D" w:rsidRDefault="007A4AFA">
      <w:pPr>
        <w:widowControl/>
        <w:spacing w:line="640" w:lineRule="exact"/>
        <w:ind w:firstLine="562"/>
        <w:rPr>
          <w:rFonts w:ascii="Times New Roman" w:eastAsia="楷体_GB2312" w:hAnsi="Times New Roman"/>
          <w:bCs/>
          <w:color w:val="333333"/>
          <w:kern w:val="0"/>
          <w:sz w:val="28"/>
          <w:szCs w:val="28"/>
          <w:shd w:val="clear" w:color="auto" w:fill="FFFFFF"/>
        </w:rPr>
      </w:pPr>
      <w:r>
        <w:rPr>
          <w:rFonts w:ascii="Times New Roman" w:eastAsia="楷体_GB2312" w:hAnsi="Times New Roman"/>
          <w:bCs/>
          <w:color w:val="333333"/>
          <w:kern w:val="0"/>
          <w:sz w:val="28"/>
          <w:szCs w:val="28"/>
          <w:shd w:val="clear" w:color="auto" w:fill="FFFFFF"/>
        </w:rPr>
        <w:t>按照部门整体支出绩效自评表确定的评分细则，通过对各项指标逐一评价，本单位部门整体支出绩效评价得分是：预算执行情况得分</w:t>
      </w:r>
      <w:r>
        <w:rPr>
          <w:rFonts w:ascii="Times New Roman" w:eastAsia="楷体_GB2312" w:hAnsi="Times New Roman"/>
          <w:bCs/>
          <w:color w:val="333333"/>
          <w:kern w:val="0"/>
          <w:sz w:val="28"/>
          <w:szCs w:val="28"/>
          <w:shd w:val="clear" w:color="auto" w:fill="FFFFFF"/>
        </w:rPr>
        <w:t>7</w:t>
      </w:r>
      <w:r>
        <w:rPr>
          <w:rFonts w:ascii="Times New Roman" w:eastAsia="楷体_GB2312" w:hAnsi="Times New Roman"/>
          <w:bCs/>
          <w:color w:val="333333"/>
          <w:kern w:val="0"/>
          <w:sz w:val="28"/>
          <w:szCs w:val="28"/>
          <w:shd w:val="clear" w:color="auto" w:fill="FFFFFF"/>
        </w:rPr>
        <w:t>分，产出情况得分</w:t>
      </w:r>
      <w:r>
        <w:rPr>
          <w:rFonts w:ascii="Times New Roman" w:eastAsia="楷体_GB2312" w:hAnsi="Times New Roman"/>
          <w:bCs/>
          <w:color w:val="333333"/>
          <w:kern w:val="0"/>
          <w:sz w:val="28"/>
          <w:szCs w:val="28"/>
          <w:shd w:val="clear" w:color="auto" w:fill="FFFFFF"/>
        </w:rPr>
        <w:t>49</w:t>
      </w:r>
      <w:r>
        <w:rPr>
          <w:rFonts w:ascii="Times New Roman" w:eastAsia="楷体_GB2312" w:hAnsi="Times New Roman"/>
          <w:bCs/>
          <w:color w:val="333333"/>
          <w:kern w:val="0"/>
          <w:sz w:val="28"/>
          <w:szCs w:val="28"/>
          <w:shd w:val="clear" w:color="auto" w:fill="FFFFFF"/>
        </w:rPr>
        <w:t>分，效益情况得分</w:t>
      </w:r>
      <w:r>
        <w:rPr>
          <w:rFonts w:ascii="Times New Roman" w:eastAsia="楷体_GB2312" w:hAnsi="Times New Roman"/>
          <w:bCs/>
          <w:color w:val="333333"/>
          <w:kern w:val="0"/>
          <w:sz w:val="28"/>
          <w:szCs w:val="28"/>
          <w:shd w:val="clear" w:color="auto" w:fill="FFFFFF"/>
        </w:rPr>
        <w:t>27</w:t>
      </w:r>
      <w:r>
        <w:rPr>
          <w:rFonts w:ascii="Times New Roman" w:eastAsia="楷体_GB2312" w:hAnsi="Times New Roman"/>
          <w:bCs/>
          <w:color w:val="333333"/>
          <w:kern w:val="0"/>
          <w:sz w:val="28"/>
          <w:szCs w:val="28"/>
          <w:shd w:val="clear" w:color="auto" w:fill="FFFFFF"/>
        </w:rPr>
        <w:t>分，服务对象满意度得分</w:t>
      </w:r>
      <w:r>
        <w:rPr>
          <w:rFonts w:ascii="Times New Roman" w:eastAsia="楷体_GB2312" w:hAnsi="Times New Roman"/>
          <w:bCs/>
          <w:color w:val="333333"/>
          <w:kern w:val="0"/>
          <w:sz w:val="28"/>
          <w:szCs w:val="28"/>
          <w:shd w:val="clear" w:color="auto" w:fill="FFFFFF"/>
        </w:rPr>
        <w:t>9</w:t>
      </w:r>
      <w:r>
        <w:rPr>
          <w:rFonts w:ascii="Times New Roman" w:eastAsia="楷体_GB2312" w:hAnsi="Times New Roman"/>
          <w:bCs/>
          <w:color w:val="333333"/>
          <w:kern w:val="0"/>
          <w:sz w:val="28"/>
          <w:szCs w:val="28"/>
          <w:shd w:val="clear" w:color="auto" w:fill="FFFFFF"/>
        </w:rPr>
        <w:t>分。总绩效为</w:t>
      </w:r>
      <w:r>
        <w:rPr>
          <w:rFonts w:ascii="Times New Roman" w:eastAsia="楷体_GB2312" w:hAnsi="Times New Roman"/>
          <w:bCs/>
          <w:color w:val="333333"/>
          <w:kern w:val="0"/>
          <w:sz w:val="28"/>
          <w:szCs w:val="28"/>
          <w:shd w:val="clear" w:color="auto" w:fill="FFFFFF"/>
        </w:rPr>
        <w:t>92</w:t>
      </w:r>
      <w:r>
        <w:rPr>
          <w:rFonts w:ascii="Times New Roman" w:eastAsia="楷体_GB2312" w:hAnsi="Times New Roman"/>
          <w:bCs/>
          <w:color w:val="333333"/>
          <w:kern w:val="0"/>
          <w:sz w:val="28"/>
          <w:szCs w:val="28"/>
          <w:shd w:val="clear" w:color="auto" w:fill="FFFFFF"/>
        </w:rPr>
        <w:t>分。评价结果等次为</w:t>
      </w:r>
      <w:r>
        <w:rPr>
          <w:rFonts w:ascii="Times New Roman" w:eastAsia="楷体_GB2312" w:hAnsi="Times New Roman"/>
          <w:bCs/>
          <w:color w:val="333333"/>
          <w:kern w:val="0"/>
          <w:sz w:val="28"/>
          <w:szCs w:val="28"/>
          <w:shd w:val="clear" w:color="auto" w:fill="FFFFFF"/>
        </w:rPr>
        <w:t xml:space="preserve">“ </w:t>
      </w:r>
      <w:r>
        <w:rPr>
          <w:rFonts w:ascii="Times New Roman" w:eastAsia="楷体_GB2312" w:hAnsi="Times New Roman"/>
          <w:bCs/>
          <w:color w:val="333333"/>
          <w:kern w:val="0"/>
          <w:sz w:val="28"/>
          <w:szCs w:val="28"/>
          <w:shd w:val="clear" w:color="auto" w:fill="FFFFFF"/>
        </w:rPr>
        <w:t>优</w:t>
      </w:r>
      <w:r>
        <w:rPr>
          <w:rFonts w:ascii="Times New Roman" w:eastAsia="楷体_GB2312" w:hAnsi="Times New Roman"/>
          <w:bCs/>
          <w:color w:val="333333"/>
          <w:kern w:val="0"/>
          <w:sz w:val="28"/>
          <w:szCs w:val="28"/>
          <w:shd w:val="clear" w:color="auto" w:fill="FFFFFF"/>
        </w:rPr>
        <w:t xml:space="preserve"> ”</w:t>
      </w:r>
      <w:r>
        <w:rPr>
          <w:rFonts w:ascii="Times New Roman" w:eastAsia="楷体_GB2312" w:hAnsi="Times New Roman"/>
          <w:bCs/>
          <w:color w:val="333333"/>
          <w:kern w:val="0"/>
          <w:sz w:val="28"/>
          <w:szCs w:val="28"/>
          <w:shd w:val="clear" w:color="auto" w:fill="FFFFFF"/>
        </w:rPr>
        <w:t>。</w:t>
      </w:r>
    </w:p>
    <w:p w:rsidR="0057447D" w:rsidRDefault="007A4AFA">
      <w:pPr>
        <w:widowControl/>
        <w:numPr>
          <w:ilvl w:val="0"/>
          <w:numId w:val="8"/>
        </w:numPr>
        <w:spacing w:line="640" w:lineRule="exact"/>
        <w:ind w:firstLine="562"/>
        <w:rPr>
          <w:rFonts w:ascii="Times New Roman" w:eastAsia="楷体_GB2312" w:hAnsi="Times New Roman"/>
          <w:b/>
          <w:color w:val="333333"/>
          <w:kern w:val="0"/>
          <w:sz w:val="28"/>
          <w:szCs w:val="28"/>
          <w:shd w:val="clear" w:color="auto" w:fill="FFFFFF"/>
        </w:rPr>
      </w:pPr>
      <w:r>
        <w:rPr>
          <w:rFonts w:ascii="Times New Roman" w:eastAsia="楷体_GB2312" w:hAnsi="Times New Roman"/>
          <w:b/>
          <w:color w:val="333333"/>
          <w:kern w:val="0"/>
          <w:sz w:val="28"/>
          <w:szCs w:val="28"/>
          <w:shd w:val="clear" w:color="auto" w:fill="FFFFFF"/>
        </w:rPr>
        <w:t>存在的问题及原因分析</w:t>
      </w:r>
    </w:p>
    <w:p w:rsidR="0057447D" w:rsidRDefault="007A4AFA">
      <w:pPr>
        <w:widowControl/>
        <w:numPr>
          <w:ilvl w:val="0"/>
          <w:numId w:val="9"/>
        </w:numPr>
        <w:spacing w:line="640" w:lineRule="exact"/>
        <w:ind w:firstLineChars="200" w:firstLine="560"/>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年末结转结余较大，</w:t>
      </w:r>
      <w:r>
        <w:rPr>
          <w:rFonts w:ascii="Times New Roman" w:eastAsia="楷体_GB2312" w:hAnsi="Times New Roman"/>
          <w:kern w:val="0"/>
          <w:sz w:val="28"/>
          <w:szCs w:val="28"/>
          <w:shd w:val="clear" w:color="auto" w:fill="FFFFFF"/>
        </w:rPr>
        <w:t>2020</w:t>
      </w:r>
      <w:r>
        <w:rPr>
          <w:rFonts w:ascii="Times New Roman" w:eastAsia="楷体_GB2312" w:hAnsi="Times New Roman"/>
          <w:kern w:val="0"/>
          <w:sz w:val="28"/>
          <w:szCs w:val="28"/>
          <w:shd w:val="clear" w:color="auto" w:fill="FFFFFF"/>
        </w:rPr>
        <w:t>年末结转和结余</w:t>
      </w:r>
      <w:r>
        <w:rPr>
          <w:rFonts w:ascii="Times New Roman" w:eastAsia="楷体_GB2312" w:hAnsi="Times New Roman"/>
          <w:kern w:val="0"/>
          <w:sz w:val="28"/>
          <w:szCs w:val="28"/>
          <w:shd w:val="clear" w:color="auto" w:fill="FFFFFF"/>
        </w:rPr>
        <w:t>869.83</w:t>
      </w:r>
      <w:r>
        <w:rPr>
          <w:rFonts w:ascii="Times New Roman" w:eastAsia="楷体_GB2312" w:hAnsi="Times New Roman"/>
          <w:kern w:val="0"/>
          <w:sz w:val="28"/>
          <w:szCs w:val="28"/>
          <w:shd w:val="clear" w:color="auto" w:fill="FFFFFF"/>
        </w:rPr>
        <w:t>万元，预算完成率为</w:t>
      </w:r>
      <w:r>
        <w:rPr>
          <w:rFonts w:ascii="Times New Roman" w:eastAsia="楷体_GB2312" w:hAnsi="Times New Roman"/>
          <w:kern w:val="0"/>
          <w:sz w:val="28"/>
          <w:szCs w:val="28"/>
          <w:shd w:val="clear" w:color="auto" w:fill="FFFFFF"/>
        </w:rPr>
        <w:t>71.60%</w:t>
      </w:r>
      <w:r>
        <w:rPr>
          <w:rFonts w:ascii="Times New Roman" w:eastAsia="楷体_GB2312" w:hAnsi="Times New Roman"/>
          <w:kern w:val="0"/>
          <w:sz w:val="28"/>
          <w:szCs w:val="28"/>
          <w:shd w:val="clear" w:color="auto" w:fill="FFFFFF"/>
        </w:rPr>
        <w:t>，预算完成率不高，主要是资金拨付时间迟，部分资金年底才到账，来不及使用，造成年末结转和结余大。</w:t>
      </w:r>
    </w:p>
    <w:p w:rsidR="0057447D" w:rsidRDefault="007A4AFA">
      <w:pPr>
        <w:widowControl/>
        <w:spacing w:line="640" w:lineRule="exact"/>
        <w:ind w:firstLineChars="200" w:firstLine="560"/>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（二）</w:t>
      </w:r>
      <w:r>
        <w:rPr>
          <w:rFonts w:ascii="Times New Roman" w:eastAsia="楷体_GB2312" w:hAnsi="Times New Roman"/>
          <w:spacing w:val="-6"/>
          <w:kern w:val="0"/>
          <w:sz w:val="28"/>
          <w:szCs w:val="28"/>
          <w:shd w:val="clear" w:color="auto" w:fill="FFFFFF"/>
        </w:rPr>
        <w:t>年中资金追加大，预算控制率不高。</w:t>
      </w:r>
      <w:r>
        <w:rPr>
          <w:rFonts w:ascii="Times New Roman" w:eastAsia="楷体_GB2312" w:hAnsi="Times New Roman"/>
          <w:spacing w:val="-6"/>
          <w:kern w:val="0"/>
          <w:sz w:val="28"/>
          <w:szCs w:val="28"/>
          <w:shd w:val="clear" w:color="auto" w:fill="FFFFFF"/>
        </w:rPr>
        <w:t>2020</w:t>
      </w:r>
      <w:r>
        <w:rPr>
          <w:rFonts w:ascii="Times New Roman" w:eastAsia="楷体_GB2312" w:hAnsi="Times New Roman"/>
          <w:spacing w:val="-6"/>
          <w:kern w:val="0"/>
          <w:sz w:val="28"/>
          <w:szCs w:val="28"/>
          <w:shd w:val="clear" w:color="auto" w:fill="FFFFFF"/>
        </w:rPr>
        <w:t>年度共追加预算</w:t>
      </w:r>
      <w:r>
        <w:rPr>
          <w:rFonts w:ascii="Times New Roman" w:eastAsia="楷体_GB2312" w:hAnsi="Times New Roman"/>
          <w:spacing w:val="-6"/>
          <w:kern w:val="0"/>
          <w:sz w:val="28"/>
          <w:szCs w:val="28"/>
          <w:shd w:val="clear" w:color="auto" w:fill="FFFFFF"/>
        </w:rPr>
        <w:t>523.67</w:t>
      </w:r>
      <w:r>
        <w:rPr>
          <w:rFonts w:ascii="Times New Roman" w:eastAsia="楷体_GB2312" w:hAnsi="Times New Roman"/>
          <w:spacing w:val="-6"/>
          <w:kern w:val="0"/>
          <w:sz w:val="28"/>
          <w:szCs w:val="28"/>
          <w:shd w:val="clear" w:color="auto" w:fill="FFFFFF"/>
        </w:rPr>
        <w:t>万元，剔除不纳入年初预算的离休人员、地师级及公务员医疗补助</w:t>
      </w:r>
      <w:r>
        <w:rPr>
          <w:rFonts w:ascii="Times New Roman" w:eastAsia="楷体_GB2312" w:hAnsi="Times New Roman"/>
          <w:spacing w:val="-6"/>
          <w:kern w:val="0"/>
          <w:sz w:val="28"/>
          <w:szCs w:val="28"/>
          <w:shd w:val="clear" w:color="auto" w:fill="FFFFFF"/>
        </w:rPr>
        <w:t>253.66</w:t>
      </w:r>
      <w:r>
        <w:rPr>
          <w:rFonts w:ascii="Times New Roman" w:eastAsia="楷体_GB2312" w:hAnsi="Times New Roman"/>
          <w:spacing w:val="-6"/>
          <w:kern w:val="0"/>
          <w:sz w:val="28"/>
          <w:szCs w:val="28"/>
          <w:shd w:val="clear" w:color="auto" w:fill="FFFFFF"/>
        </w:rPr>
        <w:t>万元，其他基</w:t>
      </w:r>
      <w:r>
        <w:rPr>
          <w:rFonts w:ascii="Times New Roman" w:eastAsia="楷体_GB2312" w:hAnsi="Times New Roman"/>
          <w:kern w:val="0"/>
          <w:sz w:val="28"/>
          <w:szCs w:val="28"/>
          <w:shd w:val="clear" w:color="auto" w:fill="FFFFFF"/>
        </w:rPr>
        <w:t>本支出和项目支出追加金额仍高达</w:t>
      </w:r>
      <w:r>
        <w:rPr>
          <w:rFonts w:ascii="Times New Roman" w:eastAsia="楷体_GB2312" w:hAnsi="Times New Roman"/>
          <w:kern w:val="0"/>
          <w:sz w:val="28"/>
          <w:szCs w:val="28"/>
          <w:shd w:val="clear" w:color="auto" w:fill="FFFFFF"/>
        </w:rPr>
        <w:t>270.01</w:t>
      </w:r>
      <w:r>
        <w:rPr>
          <w:rFonts w:ascii="Times New Roman" w:eastAsia="楷体_GB2312" w:hAnsi="Times New Roman"/>
          <w:kern w:val="0"/>
          <w:sz w:val="28"/>
          <w:szCs w:val="28"/>
          <w:shd w:val="clear" w:color="auto" w:fill="FFFFFF"/>
        </w:rPr>
        <w:t>万元。</w:t>
      </w:r>
    </w:p>
    <w:p w:rsidR="0057447D" w:rsidRDefault="007A4AFA">
      <w:pPr>
        <w:widowControl/>
        <w:spacing w:line="660" w:lineRule="exact"/>
        <w:ind w:firstLineChars="200" w:firstLine="560"/>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（三）欺诈骗保问题频发普发。一是监管工作线长面广。全州医保参保人员</w:t>
      </w:r>
      <w:r>
        <w:rPr>
          <w:rFonts w:ascii="Times New Roman" w:eastAsia="楷体_GB2312" w:hAnsi="Times New Roman"/>
          <w:kern w:val="0"/>
          <w:sz w:val="28"/>
          <w:szCs w:val="28"/>
          <w:shd w:val="clear" w:color="auto" w:fill="FFFFFF"/>
        </w:rPr>
        <w:t>269.41</w:t>
      </w:r>
      <w:r>
        <w:rPr>
          <w:rFonts w:ascii="Times New Roman" w:eastAsia="楷体_GB2312" w:hAnsi="Times New Roman"/>
          <w:kern w:val="0"/>
          <w:sz w:val="28"/>
          <w:szCs w:val="28"/>
          <w:shd w:val="clear" w:color="auto" w:fill="FFFFFF"/>
        </w:rPr>
        <w:t>万人、协议医疗机构近千家，涉及面广、风险点多。尤其是城多居民医保门诊统筹政策落地后，乡村两级医疗机构人员素质参差不齐，部分医疗机构可能通过串换药品、分解处方追逐利益，监管任务更加繁重。二是监管力量薄弱。监管手段相对滞后，没有专门的行政执法队伍，调查取证较为困难，增加了医保监管难度，尤以定点零售药店最为突出，致使医保费支出存在一些跑冒滴漏现象。三是监管深度不够。目前监管还主要集中在虚构服务、伪造文书票据、诱导挂床住院、串换项目等比较明显的欺诈骗保行为上，对不合理检</w:t>
      </w:r>
      <w:r>
        <w:rPr>
          <w:rFonts w:ascii="Times New Roman" w:eastAsia="楷体_GB2312" w:hAnsi="Times New Roman"/>
          <w:kern w:val="0"/>
          <w:sz w:val="28"/>
          <w:szCs w:val="28"/>
          <w:shd w:val="clear" w:color="auto" w:fill="FFFFFF"/>
        </w:rPr>
        <w:lastRenderedPageBreak/>
        <w:t>查、不合理用药、耗材使用、医养结合领域等深层次隐蔽性强的违规行为还缺少监管手段和办法。</w:t>
      </w:r>
    </w:p>
    <w:p w:rsidR="0057447D" w:rsidRDefault="007A4AFA">
      <w:pPr>
        <w:widowControl/>
        <w:spacing w:line="660" w:lineRule="exact"/>
        <w:ind w:firstLine="562"/>
        <w:rPr>
          <w:rFonts w:ascii="Times New Roman" w:eastAsia="楷体_GB2312" w:hAnsi="Times New Roman"/>
          <w:bCs/>
          <w:color w:val="333333"/>
          <w:kern w:val="0"/>
          <w:sz w:val="28"/>
          <w:szCs w:val="28"/>
          <w:shd w:val="clear" w:color="auto" w:fill="FFFFFF"/>
        </w:rPr>
      </w:pPr>
      <w:r>
        <w:rPr>
          <w:rFonts w:ascii="Times New Roman" w:eastAsia="楷体_GB2312" w:hAnsi="Times New Roman"/>
          <w:kern w:val="0"/>
          <w:sz w:val="28"/>
          <w:szCs w:val="28"/>
          <w:shd w:val="clear" w:color="auto" w:fill="FFFFFF"/>
        </w:rPr>
        <w:t>（</w:t>
      </w:r>
      <w:r>
        <w:rPr>
          <w:rFonts w:ascii="Times New Roman" w:eastAsia="楷体_GB2312" w:hAnsi="Times New Roman" w:hint="eastAsia"/>
          <w:kern w:val="0"/>
          <w:sz w:val="28"/>
          <w:szCs w:val="28"/>
          <w:shd w:val="clear" w:color="auto" w:fill="FFFFFF"/>
        </w:rPr>
        <w:t>四</w:t>
      </w:r>
      <w:r>
        <w:rPr>
          <w:rFonts w:ascii="Times New Roman" w:eastAsia="楷体_GB2312" w:hAnsi="Times New Roman"/>
          <w:kern w:val="0"/>
          <w:sz w:val="28"/>
          <w:szCs w:val="28"/>
          <w:shd w:val="clear" w:color="auto" w:fill="FFFFFF"/>
        </w:rPr>
        <w:t>）信息系统建设滞后。我州职工医保使用的是创智公司的信息系统，城乡居民医保使用的是泰阳和殷华两家公司的信息系统，数据分别集中在州人社局和省云平台，信息系统不统一不兼容，数据分散，影响到基金监管、医保扶贫、经办服务等医保业务开展，制约州</w:t>
      </w:r>
      <w:r>
        <w:rPr>
          <w:rFonts w:ascii="Times New Roman" w:eastAsia="楷体_GB2312" w:hAnsi="Times New Roman"/>
          <w:bCs/>
          <w:color w:val="333333"/>
          <w:kern w:val="0"/>
          <w:sz w:val="28"/>
          <w:szCs w:val="28"/>
          <w:shd w:val="clear" w:color="auto" w:fill="FFFFFF"/>
        </w:rPr>
        <w:t>级统筹、价格调整、支付方式改革的深入推进。</w:t>
      </w:r>
    </w:p>
    <w:p w:rsidR="0057447D" w:rsidRDefault="007A4AFA">
      <w:pPr>
        <w:widowControl/>
        <w:spacing w:line="660" w:lineRule="exact"/>
        <w:ind w:firstLine="562"/>
        <w:rPr>
          <w:rFonts w:ascii="Times New Roman" w:eastAsia="楷体_GB2312" w:hAnsi="Times New Roman"/>
          <w:b/>
          <w:bCs/>
          <w:kern w:val="0"/>
          <w:sz w:val="28"/>
          <w:szCs w:val="28"/>
          <w:shd w:val="clear" w:color="auto" w:fill="FFFFFF"/>
        </w:rPr>
      </w:pPr>
      <w:r>
        <w:rPr>
          <w:rFonts w:ascii="Times New Roman" w:eastAsia="楷体_GB2312" w:hAnsi="Times New Roman"/>
          <w:b/>
          <w:bCs/>
          <w:kern w:val="0"/>
          <w:sz w:val="28"/>
          <w:szCs w:val="28"/>
          <w:shd w:val="clear" w:color="auto" w:fill="FFFFFF"/>
        </w:rPr>
        <w:t>九、有关建议</w:t>
      </w: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（一）合理安排资金，加快支出进度。统筹安排各类资金使用顺序，盘活用好财政资金。项目支出预算要加快执行，根据项目实施进度合法、合规、及时办理资金支付手续。</w:t>
      </w: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（二）积极与财政部门对接，尽量做到预算编制更科学、更规范。</w:t>
      </w: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三）加强行业监管，提升经办管理能力：健全医疗保障基金综合监管工作机制，促进部门间相互配合、联合监管，实现信息资源共享，健全打击欺诈骗保协同执法、行刑衔接工作机制，形成齐抓共管、协同推进的医疗保障基金监管工作格局，提升联合监管职能，维护医保基金安全；同时加强宣传力度，不仅要积极宣传医保政策，更要宣传正确的就医和治疗理念，促使医院加强医疗管理，做到合理用药、合理检查、合理治疗、合理收费，确保医保基金的有效使用。</w:t>
      </w: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（四）建议整合现有城乡居民和城镇职工医保信息系统，尽快开发新医保信息系统，实现信息系统全省统一。</w:t>
      </w:r>
    </w:p>
    <w:p w:rsidR="0057447D" w:rsidRDefault="007A4AFA">
      <w:pPr>
        <w:widowControl/>
        <w:spacing w:line="660" w:lineRule="exact"/>
        <w:ind w:firstLine="562"/>
        <w:rPr>
          <w:rFonts w:ascii="Times New Roman" w:eastAsia="楷体_GB2312" w:hAnsi="Times New Roman"/>
          <w:b/>
          <w:bCs/>
          <w:kern w:val="0"/>
          <w:sz w:val="28"/>
          <w:szCs w:val="28"/>
          <w:shd w:val="clear" w:color="auto" w:fill="FFFFFF"/>
        </w:rPr>
      </w:pPr>
      <w:r>
        <w:rPr>
          <w:rFonts w:ascii="Times New Roman" w:eastAsia="楷体_GB2312" w:hAnsi="Times New Roman"/>
          <w:b/>
          <w:bCs/>
          <w:kern w:val="0"/>
          <w:sz w:val="28"/>
          <w:szCs w:val="28"/>
          <w:shd w:val="clear" w:color="auto" w:fill="FFFFFF"/>
        </w:rPr>
        <w:lastRenderedPageBreak/>
        <w:t>十、绩效自评结果拟应用和公开情况</w:t>
      </w: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通过对</w:t>
      </w:r>
      <w:r>
        <w:rPr>
          <w:rFonts w:ascii="Times New Roman" w:eastAsia="楷体_GB2312" w:hAnsi="Times New Roman"/>
          <w:kern w:val="0"/>
          <w:sz w:val="28"/>
          <w:szCs w:val="28"/>
          <w:shd w:val="clear" w:color="auto" w:fill="FFFFFF"/>
        </w:rPr>
        <w:t>2020</w:t>
      </w:r>
      <w:r>
        <w:rPr>
          <w:rFonts w:ascii="Times New Roman" w:eastAsia="楷体_GB2312" w:hAnsi="Times New Roman"/>
          <w:kern w:val="0"/>
          <w:sz w:val="28"/>
          <w:szCs w:val="28"/>
          <w:shd w:val="clear" w:color="auto" w:fill="FFFFFF"/>
        </w:rPr>
        <w:t>年</w:t>
      </w:r>
      <w:r>
        <w:rPr>
          <w:rFonts w:ascii="Times New Roman" w:eastAsia="楷体_GB2312" w:hAnsi="Times New Roman"/>
          <w:spacing w:val="-6"/>
          <w:kern w:val="0"/>
          <w:sz w:val="28"/>
          <w:szCs w:val="28"/>
          <w:shd w:val="clear" w:color="auto" w:fill="FFFFFF"/>
        </w:rPr>
        <w:t>部门整体支出的绩效自评工作，我们对单位整体支出情况有了一个完整、全面的了解，我们将高度重视绩效评价结果的应用工作，积极探索和建立一套</w:t>
      </w:r>
      <w:r>
        <w:rPr>
          <w:rFonts w:ascii="Times New Roman" w:eastAsia="楷体_GB2312" w:hAnsi="Times New Roman"/>
          <w:kern w:val="0"/>
          <w:sz w:val="28"/>
          <w:szCs w:val="28"/>
          <w:shd w:val="clear" w:color="auto" w:fill="FFFFFF"/>
        </w:rPr>
        <w:t>与预算管理相结合、多渠道应用评价结果的有效机制，努力提高绩效意识和财政资金使用效益。同时，我们将按通知要求，将绩效自评结果进行信息公开，广泛接受社会监督。</w:t>
      </w:r>
    </w:p>
    <w:p w:rsidR="0057447D" w:rsidRDefault="0057447D">
      <w:pPr>
        <w:widowControl/>
        <w:spacing w:line="640" w:lineRule="exact"/>
        <w:ind w:firstLine="560"/>
        <w:rPr>
          <w:rFonts w:ascii="Times New Roman" w:eastAsia="楷体_GB2312" w:hAnsi="Times New Roman"/>
          <w:b/>
          <w:bCs/>
          <w:color w:val="333333"/>
          <w:kern w:val="0"/>
          <w:sz w:val="28"/>
          <w:szCs w:val="28"/>
          <w:shd w:val="clear" w:color="auto" w:fill="FFFFFF"/>
        </w:rPr>
      </w:pP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附件：</w:t>
      </w: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1</w:t>
      </w:r>
      <w:r>
        <w:rPr>
          <w:rFonts w:ascii="Times New Roman" w:eastAsia="楷体_GB2312" w:hAnsi="Times New Roman"/>
          <w:kern w:val="0"/>
          <w:sz w:val="28"/>
          <w:szCs w:val="28"/>
          <w:shd w:val="clear" w:color="auto" w:fill="FFFFFF"/>
        </w:rPr>
        <w:t>、湘西自治州医疗保障局关于开展</w:t>
      </w:r>
      <w:r>
        <w:rPr>
          <w:rFonts w:ascii="Times New Roman" w:eastAsia="楷体_GB2312" w:hAnsi="Times New Roman"/>
          <w:kern w:val="0"/>
          <w:sz w:val="28"/>
          <w:szCs w:val="28"/>
          <w:shd w:val="clear" w:color="auto" w:fill="FFFFFF"/>
        </w:rPr>
        <w:t>2020</w:t>
      </w:r>
      <w:r>
        <w:rPr>
          <w:rFonts w:ascii="Times New Roman" w:eastAsia="楷体_GB2312" w:hAnsi="Times New Roman"/>
          <w:kern w:val="0"/>
          <w:sz w:val="28"/>
          <w:szCs w:val="28"/>
          <w:shd w:val="clear" w:color="auto" w:fill="FFFFFF"/>
        </w:rPr>
        <w:t>年度部门整体支出绩效自评工作的通知</w:t>
      </w: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2</w:t>
      </w:r>
      <w:r>
        <w:rPr>
          <w:rFonts w:ascii="Times New Roman" w:eastAsia="楷体_GB2312" w:hAnsi="Times New Roman"/>
          <w:kern w:val="0"/>
          <w:sz w:val="28"/>
          <w:szCs w:val="28"/>
          <w:shd w:val="clear" w:color="auto" w:fill="FFFFFF"/>
        </w:rPr>
        <w:t>、州级预算部门整体支出绩效评价基础数据表</w:t>
      </w: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3</w:t>
      </w:r>
      <w:r>
        <w:rPr>
          <w:rFonts w:ascii="Times New Roman" w:eastAsia="楷体_GB2312" w:hAnsi="Times New Roman"/>
          <w:kern w:val="0"/>
          <w:sz w:val="28"/>
          <w:szCs w:val="28"/>
          <w:shd w:val="clear" w:color="auto" w:fill="FFFFFF"/>
        </w:rPr>
        <w:t>、州级预算部门整体支出绩效自评表</w:t>
      </w: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4</w:t>
      </w:r>
      <w:r>
        <w:rPr>
          <w:rFonts w:ascii="Times New Roman" w:eastAsia="楷体_GB2312" w:hAnsi="Times New Roman"/>
          <w:kern w:val="0"/>
          <w:sz w:val="28"/>
          <w:szCs w:val="28"/>
          <w:shd w:val="clear" w:color="auto" w:fill="FFFFFF"/>
        </w:rPr>
        <w:t>、州级预算部门项目支出绩效自评表</w:t>
      </w: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5</w:t>
      </w:r>
      <w:r>
        <w:rPr>
          <w:rFonts w:ascii="Times New Roman" w:eastAsia="楷体_GB2312" w:hAnsi="Times New Roman"/>
          <w:kern w:val="0"/>
          <w:sz w:val="28"/>
          <w:szCs w:val="28"/>
          <w:shd w:val="clear" w:color="auto" w:fill="FFFFFF"/>
        </w:rPr>
        <w:t>、州级预算部门政府性基金预算支出绩效自评表</w:t>
      </w:r>
    </w:p>
    <w:p w:rsidR="0057447D" w:rsidRDefault="007A4AFA">
      <w:pPr>
        <w:widowControl/>
        <w:spacing w:line="660" w:lineRule="exact"/>
        <w:ind w:firstLine="562"/>
        <w:rPr>
          <w:rFonts w:ascii="Times New Roman" w:eastAsia="楷体_GB2312" w:hAnsi="Times New Roman"/>
          <w:kern w:val="0"/>
          <w:sz w:val="28"/>
          <w:szCs w:val="28"/>
          <w:shd w:val="clear" w:color="auto" w:fill="FFFFFF"/>
        </w:rPr>
      </w:pPr>
      <w:r>
        <w:rPr>
          <w:rFonts w:ascii="Times New Roman" w:eastAsia="楷体_GB2312" w:hAnsi="Times New Roman"/>
          <w:kern w:val="0"/>
          <w:sz w:val="28"/>
          <w:szCs w:val="28"/>
          <w:shd w:val="clear" w:color="auto" w:fill="FFFFFF"/>
        </w:rPr>
        <w:t>6</w:t>
      </w:r>
      <w:r>
        <w:rPr>
          <w:rFonts w:ascii="Times New Roman" w:eastAsia="楷体_GB2312" w:hAnsi="Times New Roman"/>
          <w:kern w:val="0"/>
          <w:sz w:val="28"/>
          <w:szCs w:val="28"/>
          <w:shd w:val="clear" w:color="auto" w:fill="FFFFFF"/>
        </w:rPr>
        <w:t>、州级预算部门社会保险基金预算支出绩效自评表</w:t>
      </w:r>
    </w:p>
    <w:p w:rsidR="0057447D" w:rsidRDefault="0057447D">
      <w:pPr>
        <w:rPr>
          <w:rFonts w:ascii="Times New Roman" w:eastAsia="楷体_GB2312" w:hAnsi="Times New Roman"/>
          <w:color w:val="333333"/>
          <w:kern w:val="0"/>
          <w:sz w:val="28"/>
          <w:szCs w:val="28"/>
          <w:shd w:val="clear" w:color="auto" w:fill="FFFFFF"/>
        </w:rPr>
      </w:pPr>
    </w:p>
    <w:p w:rsidR="0057447D" w:rsidRDefault="0057447D">
      <w:pPr>
        <w:widowControl/>
        <w:spacing w:line="180" w:lineRule="atLeast"/>
        <w:ind w:firstLineChars="1762" w:firstLine="4934"/>
        <w:rPr>
          <w:rFonts w:ascii="Times New Roman" w:eastAsia="楷体_GB2312" w:hAnsi="Times New Roman"/>
          <w:color w:val="333333"/>
          <w:kern w:val="0"/>
          <w:sz w:val="28"/>
          <w:szCs w:val="28"/>
          <w:shd w:val="clear" w:color="auto" w:fill="FFFFFF"/>
        </w:rPr>
      </w:pPr>
    </w:p>
    <w:p w:rsidR="0057447D" w:rsidRDefault="0057447D">
      <w:pPr>
        <w:pStyle w:val="a5"/>
        <w:rPr>
          <w:rFonts w:ascii="Times New Roman" w:eastAsia="楷体_GB2312" w:hAnsi="Times New Roman"/>
          <w:color w:val="333333"/>
          <w:kern w:val="0"/>
          <w:sz w:val="28"/>
          <w:szCs w:val="28"/>
          <w:shd w:val="clear" w:color="auto" w:fill="FFFFFF"/>
        </w:rPr>
      </w:pPr>
    </w:p>
    <w:p w:rsidR="0057447D" w:rsidRDefault="0057447D">
      <w:pPr>
        <w:pStyle w:val="5"/>
      </w:pPr>
    </w:p>
    <w:p w:rsidR="0057447D" w:rsidRDefault="007A4AFA">
      <w:pPr>
        <w:widowControl/>
        <w:spacing w:line="180" w:lineRule="atLeast"/>
        <w:ind w:firstLineChars="1762" w:firstLine="4934"/>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湘西自治州医疗保障局</w:t>
      </w:r>
    </w:p>
    <w:p w:rsidR="0057447D" w:rsidRDefault="007A4AFA">
      <w:pPr>
        <w:widowControl/>
        <w:spacing w:line="180" w:lineRule="atLeast"/>
        <w:ind w:firstLine="560"/>
        <w:rPr>
          <w:rFonts w:ascii="Times New Roman" w:eastAsia="楷体_GB2312" w:hAnsi="Times New Roman"/>
          <w:color w:val="333333"/>
          <w:kern w:val="0"/>
          <w:sz w:val="28"/>
          <w:szCs w:val="28"/>
          <w:shd w:val="clear" w:color="auto" w:fill="FFFFFF"/>
        </w:rPr>
      </w:pPr>
      <w:r>
        <w:rPr>
          <w:rFonts w:ascii="Times New Roman" w:eastAsia="楷体_GB2312" w:hAnsi="Times New Roman"/>
          <w:color w:val="333333"/>
          <w:kern w:val="0"/>
          <w:sz w:val="28"/>
          <w:szCs w:val="28"/>
          <w:shd w:val="clear" w:color="auto" w:fill="FFFFFF"/>
        </w:rPr>
        <w:t xml:space="preserve">                                  2021</w:t>
      </w:r>
      <w:r>
        <w:rPr>
          <w:rFonts w:ascii="Times New Roman" w:eastAsia="楷体_GB2312" w:hAnsi="Times New Roman"/>
          <w:color w:val="333333"/>
          <w:kern w:val="0"/>
          <w:sz w:val="28"/>
          <w:szCs w:val="28"/>
          <w:shd w:val="clear" w:color="auto" w:fill="FFFFFF"/>
        </w:rPr>
        <w:t>年</w:t>
      </w:r>
      <w:r>
        <w:rPr>
          <w:rFonts w:ascii="Times New Roman" w:eastAsia="楷体_GB2312" w:hAnsi="Times New Roman"/>
          <w:color w:val="333333"/>
          <w:kern w:val="0"/>
          <w:sz w:val="28"/>
          <w:szCs w:val="28"/>
          <w:shd w:val="clear" w:color="auto" w:fill="FFFFFF"/>
        </w:rPr>
        <w:t>6</w:t>
      </w:r>
      <w:r>
        <w:rPr>
          <w:rFonts w:ascii="Times New Roman" w:eastAsia="楷体_GB2312" w:hAnsi="Times New Roman"/>
          <w:color w:val="333333"/>
          <w:kern w:val="0"/>
          <w:sz w:val="28"/>
          <w:szCs w:val="28"/>
          <w:shd w:val="clear" w:color="auto" w:fill="FFFFFF"/>
        </w:rPr>
        <w:t>月</w:t>
      </w:r>
      <w:r>
        <w:rPr>
          <w:rFonts w:ascii="Times New Roman" w:eastAsia="楷体_GB2312" w:hAnsi="Times New Roman"/>
          <w:color w:val="333333"/>
          <w:kern w:val="0"/>
          <w:sz w:val="28"/>
          <w:szCs w:val="28"/>
          <w:shd w:val="clear" w:color="auto" w:fill="FFFFFF"/>
        </w:rPr>
        <w:t>15</w:t>
      </w:r>
      <w:r>
        <w:rPr>
          <w:rFonts w:ascii="Times New Roman" w:eastAsia="楷体_GB2312" w:hAnsi="Times New Roman"/>
          <w:color w:val="333333"/>
          <w:kern w:val="0"/>
          <w:sz w:val="28"/>
          <w:szCs w:val="28"/>
          <w:shd w:val="clear" w:color="auto" w:fill="FFFFFF"/>
        </w:rPr>
        <w:t>日</w:t>
      </w:r>
    </w:p>
    <w:p w:rsidR="0057447D" w:rsidRDefault="0057447D">
      <w:pPr>
        <w:spacing w:line="540" w:lineRule="exact"/>
        <w:ind w:firstLineChars="200" w:firstLine="560"/>
        <w:jc w:val="right"/>
        <w:rPr>
          <w:rFonts w:ascii="楷体_GB2312" w:eastAsia="楷体_GB2312" w:hAnsi="楷体_GB2312" w:cs="楷体_GB2312"/>
          <w:color w:val="333333"/>
          <w:kern w:val="0"/>
          <w:sz w:val="28"/>
          <w:szCs w:val="28"/>
          <w:shd w:val="clear" w:color="auto" w:fill="FFFFFF"/>
        </w:rPr>
      </w:pPr>
    </w:p>
    <w:p w:rsidR="0057447D" w:rsidRDefault="0057447D">
      <w:pPr>
        <w:spacing w:line="600" w:lineRule="exact"/>
        <w:rPr>
          <w:rFonts w:eastAsia="黑体"/>
          <w:kern w:val="0"/>
          <w:sz w:val="32"/>
          <w:szCs w:val="32"/>
          <w:shd w:val="clear" w:color="auto" w:fill="FFFFFF" w:themeFill="background1"/>
        </w:rPr>
      </w:pPr>
    </w:p>
    <w:sectPr w:rsidR="0057447D" w:rsidSect="00481B65">
      <w:pgSz w:w="11906" w:h="16838"/>
      <w:pgMar w:top="1440" w:right="1803" w:bottom="1440" w:left="1803" w:header="851" w:footer="992" w:gutter="0"/>
      <w:cols w:space="720"/>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74D" w:rsidRDefault="004D774D">
      <w:r>
        <w:separator/>
      </w:r>
    </w:p>
  </w:endnote>
  <w:endnote w:type="continuationSeparator" w:id="1">
    <w:p w:rsidR="004D774D" w:rsidRDefault="004D7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80E0000" w:usb2="00000000" w:usb3="00000000" w:csb0="00040000" w:csb1="00000000"/>
  </w:font>
  <w:font w:name="仿宋">
    <w:altName w:val="Noto Sans Syriac Western"/>
    <w:panose1 w:val="02010609060101010101"/>
    <w:charset w:val="86"/>
    <w:family w:val="modern"/>
    <w:pitch w:val="fixed"/>
    <w:sig w:usb0="800002BF" w:usb1="38CF7CFA" w:usb2="00000016" w:usb3="00000000" w:csb0="00040001" w:csb1="00000000"/>
  </w:font>
  <w:font w:name="华文中宋">
    <w:altName w:val="Noto Sans CJK JP Regular"/>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楷体_GB2312">
    <w:altName w:val="等线"/>
    <w:charset w:val="86"/>
    <w:family w:val="auto"/>
    <w:pitch w:val="default"/>
    <w:sig w:usb0="00000000" w:usb1="00000000" w:usb2="00000000" w:usb3="00000000" w:csb0="00040000" w:csb1="00000000"/>
  </w:font>
  <w:font w:name="楷体">
    <w:altName w:val="Noto Sans Syriac Western"/>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7D" w:rsidRDefault="005744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7D" w:rsidRDefault="00481B65">
    <w:pPr>
      <w:pStyle w:val="a5"/>
    </w:pPr>
    <w:r>
      <w:rPr>
        <w:noProof/>
      </w:rPr>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0288;visibility:visible;mso-wrap-style:none;mso-position-horizontal:center;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" filled="f" stroked="f">
          <v:path arrowok="t"/>
          <v:textbox style="mso-fit-shape-to-text:t" inset="0,0,0,0">
            <w:txbxContent>
              <w:p w:rsidR="0057447D" w:rsidRDefault="00481B65">
                <w:pPr>
                  <w:pStyle w:val="a5"/>
                </w:pPr>
                <w:r>
                  <w:fldChar w:fldCharType="begin"/>
                </w:r>
                <w:r w:rsidR="007A4AFA">
                  <w:instrText xml:space="preserve"> PAGE  \* MERGEFORMAT </w:instrText>
                </w:r>
                <w:r>
                  <w:fldChar w:fldCharType="separate"/>
                </w:r>
                <w:r w:rsidR="003E0B6F">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74D" w:rsidRDefault="004D774D">
      <w:r>
        <w:separator/>
      </w:r>
    </w:p>
  </w:footnote>
  <w:footnote w:type="continuationSeparator" w:id="1">
    <w:p w:rsidR="004D774D" w:rsidRDefault="004D7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452CB"/>
    <w:multiLevelType w:val="singleLevel"/>
    <w:tmpl w:val="8ED452CB"/>
    <w:lvl w:ilvl="0">
      <w:start w:val="1"/>
      <w:numFmt w:val="decimal"/>
      <w:suff w:val="nothing"/>
      <w:lvlText w:val="%1、"/>
      <w:lvlJc w:val="left"/>
    </w:lvl>
  </w:abstractNum>
  <w:abstractNum w:abstractNumId="1">
    <w:nsid w:val="9E7938D8"/>
    <w:multiLevelType w:val="singleLevel"/>
    <w:tmpl w:val="9E7938D8"/>
    <w:lvl w:ilvl="0">
      <w:start w:val="1"/>
      <w:numFmt w:val="decimal"/>
      <w:suff w:val="nothing"/>
      <w:lvlText w:val="%1、"/>
      <w:lvlJc w:val="left"/>
    </w:lvl>
  </w:abstractNum>
  <w:abstractNum w:abstractNumId="2">
    <w:nsid w:val="CD007451"/>
    <w:multiLevelType w:val="singleLevel"/>
    <w:tmpl w:val="CD007451"/>
    <w:lvl w:ilvl="0">
      <w:start w:val="1"/>
      <w:numFmt w:val="decimal"/>
      <w:suff w:val="nothing"/>
      <w:lvlText w:val="%1、"/>
      <w:lvlJc w:val="left"/>
    </w:lvl>
  </w:abstractNum>
  <w:abstractNum w:abstractNumId="3">
    <w:nsid w:val="E86991FB"/>
    <w:multiLevelType w:val="singleLevel"/>
    <w:tmpl w:val="E86991FB"/>
    <w:lvl w:ilvl="0">
      <w:start w:val="2"/>
      <w:numFmt w:val="chineseCounting"/>
      <w:suff w:val="nothing"/>
      <w:lvlText w:val="（%1）"/>
      <w:lvlJc w:val="left"/>
      <w:rPr>
        <w:rFonts w:hint="eastAsia"/>
      </w:rPr>
    </w:lvl>
  </w:abstractNum>
  <w:abstractNum w:abstractNumId="4">
    <w:nsid w:val="EBE61281"/>
    <w:multiLevelType w:val="singleLevel"/>
    <w:tmpl w:val="EBE61281"/>
    <w:lvl w:ilvl="0">
      <w:start w:val="2"/>
      <w:numFmt w:val="chineseCounting"/>
      <w:suff w:val="nothing"/>
      <w:lvlText w:val="（%1）"/>
      <w:lvlJc w:val="left"/>
      <w:pPr>
        <w:ind w:left="-140"/>
      </w:pPr>
      <w:rPr>
        <w:rFonts w:hint="eastAsia"/>
      </w:rPr>
    </w:lvl>
  </w:abstractNum>
  <w:abstractNum w:abstractNumId="5">
    <w:nsid w:val="040BFA16"/>
    <w:multiLevelType w:val="singleLevel"/>
    <w:tmpl w:val="040BFA16"/>
    <w:lvl w:ilvl="0">
      <w:start w:val="8"/>
      <w:numFmt w:val="chineseCounting"/>
      <w:suff w:val="nothing"/>
      <w:lvlText w:val="%1、"/>
      <w:lvlJc w:val="left"/>
      <w:rPr>
        <w:rFonts w:hint="eastAsia"/>
      </w:rPr>
    </w:lvl>
  </w:abstractNum>
  <w:abstractNum w:abstractNumId="6">
    <w:nsid w:val="38A976CA"/>
    <w:multiLevelType w:val="multilevel"/>
    <w:tmpl w:val="38A976CA"/>
    <w:lvl w:ilvl="0">
      <w:start w:val="1"/>
      <w:numFmt w:val="japaneseCounting"/>
      <w:lvlText w:val="%1、"/>
      <w:lvlJc w:val="left"/>
      <w:pPr>
        <w:ind w:left="1305" w:hanging="66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7">
    <w:nsid w:val="3C4AA5BF"/>
    <w:multiLevelType w:val="singleLevel"/>
    <w:tmpl w:val="3C4AA5BF"/>
    <w:lvl w:ilvl="0">
      <w:start w:val="4"/>
      <w:numFmt w:val="chineseCounting"/>
      <w:suff w:val="nothing"/>
      <w:lvlText w:val="%1、"/>
      <w:lvlJc w:val="left"/>
      <w:rPr>
        <w:rFonts w:hint="eastAsia"/>
      </w:rPr>
    </w:lvl>
  </w:abstractNum>
  <w:abstractNum w:abstractNumId="8">
    <w:nsid w:val="7A07F12A"/>
    <w:multiLevelType w:val="singleLevel"/>
    <w:tmpl w:val="7A07F12A"/>
    <w:lvl w:ilvl="0">
      <w:start w:val="1"/>
      <w:numFmt w:val="chineseCounting"/>
      <w:suff w:val="nothing"/>
      <w:lvlText w:val="（%1）"/>
      <w:lvlJc w:val="left"/>
      <w:rPr>
        <w:rFonts w:hint="eastAsia"/>
      </w:rPr>
    </w:lvl>
  </w:abstractNum>
  <w:num w:numId="1">
    <w:abstractNumId w:val="6"/>
  </w:num>
  <w:num w:numId="2">
    <w:abstractNumId w:val="2"/>
  </w:num>
  <w:num w:numId="3">
    <w:abstractNumId w:val="1"/>
  </w:num>
  <w:num w:numId="4">
    <w:abstractNumId w:val="0"/>
  </w:num>
  <w:num w:numId="5">
    <w:abstractNumId w:val="4"/>
  </w:num>
  <w:num w:numId="6">
    <w:abstractNumId w:val="7"/>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9FFE73E6"/>
    <w:rsid w:val="D4BD6CF2"/>
    <w:rsid w:val="D9FE73F0"/>
    <w:rsid w:val="FFBF3374"/>
    <w:rsid w:val="0002229B"/>
    <w:rsid w:val="000273BD"/>
    <w:rsid w:val="000409C0"/>
    <w:rsid w:val="000415B7"/>
    <w:rsid w:val="00041E3F"/>
    <w:rsid w:val="00050A24"/>
    <w:rsid w:val="00055DAA"/>
    <w:rsid w:val="00061F7B"/>
    <w:rsid w:val="00063ED8"/>
    <w:rsid w:val="000658A3"/>
    <w:rsid w:val="00074155"/>
    <w:rsid w:val="00093431"/>
    <w:rsid w:val="000A3F69"/>
    <w:rsid w:val="000C2C55"/>
    <w:rsid w:val="000D6C60"/>
    <w:rsid w:val="00100B75"/>
    <w:rsid w:val="00103957"/>
    <w:rsid w:val="00103CB0"/>
    <w:rsid w:val="00140A8D"/>
    <w:rsid w:val="001511C5"/>
    <w:rsid w:val="00152C6D"/>
    <w:rsid w:val="00162D39"/>
    <w:rsid w:val="001678BD"/>
    <w:rsid w:val="00191903"/>
    <w:rsid w:val="001A67DB"/>
    <w:rsid w:val="001C3C29"/>
    <w:rsid w:val="001C54DC"/>
    <w:rsid w:val="001D51E5"/>
    <w:rsid w:val="001D75DC"/>
    <w:rsid w:val="001E080D"/>
    <w:rsid w:val="001E53D0"/>
    <w:rsid w:val="001F0C3B"/>
    <w:rsid w:val="00202C82"/>
    <w:rsid w:val="00214427"/>
    <w:rsid w:val="00226CB7"/>
    <w:rsid w:val="002325EC"/>
    <w:rsid w:val="00241B38"/>
    <w:rsid w:val="00244820"/>
    <w:rsid w:val="00264552"/>
    <w:rsid w:val="00264EF9"/>
    <w:rsid w:val="00265724"/>
    <w:rsid w:val="00265CC4"/>
    <w:rsid w:val="00267F76"/>
    <w:rsid w:val="0027426B"/>
    <w:rsid w:val="0027726A"/>
    <w:rsid w:val="00291B4F"/>
    <w:rsid w:val="002C446C"/>
    <w:rsid w:val="002E0A30"/>
    <w:rsid w:val="002E67A8"/>
    <w:rsid w:val="003130C4"/>
    <w:rsid w:val="00315708"/>
    <w:rsid w:val="00316C4B"/>
    <w:rsid w:val="0032192B"/>
    <w:rsid w:val="003479BD"/>
    <w:rsid w:val="00365013"/>
    <w:rsid w:val="0037197D"/>
    <w:rsid w:val="003768D5"/>
    <w:rsid w:val="003845D1"/>
    <w:rsid w:val="003B681A"/>
    <w:rsid w:val="003C47E6"/>
    <w:rsid w:val="003C4FC2"/>
    <w:rsid w:val="003E0B6F"/>
    <w:rsid w:val="003E0C13"/>
    <w:rsid w:val="003E6725"/>
    <w:rsid w:val="00416E61"/>
    <w:rsid w:val="004220BD"/>
    <w:rsid w:val="0042790C"/>
    <w:rsid w:val="00431E42"/>
    <w:rsid w:val="00444703"/>
    <w:rsid w:val="004506F9"/>
    <w:rsid w:val="004717A2"/>
    <w:rsid w:val="00473DF3"/>
    <w:rsid w:val="004777FB"/>
    <w:rsid w:val="00481B65"/>
    <w:rsid w:val="00485B27"/>
    <w:rsid w:val="00487911"/>
    <w:rsid w:val="00491741"/>
    <w:rsid w:val="0049572E"/>
    <w:rsid w:val="004D774D"/>
    <w:rsid w:val="004F1258"/>
    <w:rsid w:val="00500E5F"/>
    <w:rsid w:val="005122EF"/>
    <w:rsid w:val="0051441A"/>
    <w:rsid w:val="00517C33"/>
    <w:rsid w:val="00523644"/>
    <w:rsid w:val="00532FD6"/>
    <w:rsid w:val="005354AE"/>
    <w:rsid w:val="0054069E"/>
    <w:rsid w:val="005412D5"/>
    <w:rsid w:val="00544866"/>
    <w:rsid w:val="0055766E"/>
    <w:rsid w:val="0057447D"/>
    <w:rsid w:val="005767CC"/>
    <w:rsid w:val="00590D9F"/>
    <w:rsid w:val="005923A7"/>
    <w:rsid w:val="00595D26"/>
    <w:rsid w:val="005A620E"/>
    <w:rsid w:val="005A74E6"/>
    <w:rsid w:val="005B404E"/>
    <w:rsid w:val="005D4D55"/>
    <w:rsid w:val="005E09D4"/>
    <w:rsid w:val="005E2CFB"/>
    <w:rsid w:val="005F3D1C"/>
    <w:rsid w:val="0061325A"/>
    <w:rsid w:val="00615ACD"/>
    <w:rsid w:val="0062378F"/>
    <w:rsid w:val="0062418D"/>
    <w:rsid w:val="006313FF"/>
    <w:rsid w:val="00641842"/>
    <w:rsid w:val="00651EEC"/>
    <w:rsid w:val="00656E60"/>
    <w:rsid w:val="00687A12"/>
    <w:rsid w:val="00691E8C"/>
    <w:rsid w:val="006A22C4"/>
    <w:rsid w:val="006A351B"/>
    <w:rsid w:val="006B0422"/>
    <w:rsid w:val="006C1B53"/>
    <w:rsid w:val="006D7730"/>
    <w:rsid w:val="006E5284"/>
    <w:rsid w:val="006F32C1"/>
    <w:rsid w:val="006F3EB5"/>
    <w:rsid w:val="00702E34"/>
    <w:rsid w:val="00704395"/>
    <w:rsid w:val="00717621"/>
    <w:rsid w:val="00720FF1"/>
    <w:rsid w:val="00727A53"/>
    <w:rsid w:val="007562EF"/>
    <w:rsid w:val="00764349"/>
    <w:rsid w:val="00771417"/>
    <w:rsid w:val="00782E39"/>
    <w:rsid w:val="00787B42"/>
    <w:rsid w:val="00795A51"/>
    <w:rsid w:val="007A1C31"/>
    <w:rsid w:val="007A4AFA"/>
    <w:rsid w:val="007A50A5"/>
    <w:rsid w:val="007A7195"/>
    <w:rsid w:val="007C2D63"/>
    <w:rsid w:val="007C4539"/>
    <w:rsid w:val="007D220A"/>
    <w:rsid w:val="007F3657"/>
    <w:rsid w:val="007F5932"/>
    <w:rsid w:val="008058D9"/>
    <w:rsid w:val="00812ED5"/>
    <w:rsid w:val="00823FBC"/>
    <w:rsid w:val="00824061"/>
    <w:rsid w:val="008277D9"/>
    <w:rsid w:val="00831970"/>
    <w:rsid w:val="0084478C"/>
    <w:rsid w:val="0084531F"/>
    <w:rsid w:val="00850ED1"/>
    <w:rsid w:val="0086638C"/>
    <w:rsid w:val="00885010"/>
    <w:rsid w:val="008A3E8D"/>
    <w:rsid w:val="008B6D1E"/>
    <w:rsid w:val="008C1864"/>
    <w:rsid w:val="008D6D6E"/>
    <w:rsid w:val="009237C4"/>
    <w:rsid w:val="00931DF5"/>
    <w:rsid w:val="00944C48"/>
    <w:rsid w:val="00950252"/>
    <w:rsid w:val="00967F5D"/>
    <w:rsid w:val="00975B80"/>
    <w:rsid w:val="009927E6"/>
    <w:rsid w:val="00994E9A"/>
    <w:rsid w:val="009A0F95"/>
    <w:rsid w:val="009A2029"/>
    <w:rsid w:val="009A509F"/>
    <w:rsid w:val="009B32B5"/>
    <w:rsid w:val="009B3ADF"/>
    <w:rsid w:val="009C3B52"/>
    <w:rsid w:val="009D3220"/>
    <w:rsid w:val="009E0B9B"/>
    <w:rsid w:val="009E346B"/>
    <w:rsid w:val="009E6817"/>
    <w:rsid w:val="009E6E9A"/>
    <w:rsid w:val="00A01D2B"/>
    <w:rsid w:val="00A1170C"/>
    <w:rsid w:val="00A14560"/>
    <w:rsid w:val="00A368B0"/>
    <w:rsid w:val="00A42218"/>
    <w:rsid w:val="00A70249"/>
    <w:rsid w:val="00A70B02"/>
    <w:rsid w:val="00A71D9F"/>
    <w:rsid w:val="00A92E9F"/>
    <w:rsid w:val="00AC4B98"/>
    <w:rsid w:val="00AE016F"/>
    <w:rsid w:val="00AF3692"/>
    <w:rsid w:val="00B33BEA"/>
    <w:rsid w:val="00B510C4"/>
    <w:rsid w:val="00B57C9F"/>
    <w:rsid w:val="00B626A1"/>
    <w:rsid w:val="00B63572"/>
    <w:rsid w:val="00B845B3"/>
    <w:rsid w:val="00B85D8B"/>
    <w:rsid w:val="00B87EF6"/>
    <w:rsid w:val="00BA09E1"/>
    <w:rsid w:val="00BB0536"/>
    <w:rsid w:val="00BB17FB"/>
    <w:rsid w:val="00BB4A40"/>
    <w:rsid w:val="00BD6C3E"/>
    <w:rsid w:val="00BE3674"/>
    <w:rsid w:val="00C041C9"/>
    <w:rsid w:val="00C10681"/>
    <w:rsid w:val="00C10C55"/>
    <w:rsid w:val="00C3049A"/>
    <w:rsid w:val="00C31B1E"/>
    <w:rsid w:val="00C414AF"/>
    <w:rsid w:val="00C556C0"/>
    <w:rsid w:val="00C600B7"/>
    <w:rsid w:val="00C77645"/>
    <w:rsid w:val="00C805D9"/>
    <w:rsid w:val="00C97B50"/>
    <w:rsid w:val="00C97E71"/>
    <w:rsid w:val="00CA134F"/>
    <w:rsid w:val="00CB4247"/>
    <w:rsid w:val="00CE04C3"/>
    <w:rsid w:val="00CE18C2"/>
    <w:rsid w:val="00CE76A0"/>
    <w:rsid w:val="00D148C6"/>
    <w:rsid w:val="00D14DA1"/>
    <w:rsid w:val="00D1793D"/>
    <w:rsid w:val="00D17A8A"/>
    <w:rsid w:val="00D31840"/>
    <w:rsid w:val="00D415BA"/>
    <w:rsid w:val="00D644EE"/>
    <w:rsid w:val="00D667F0"/>
    <w:rsid w:val="00D736BC"/>
    <w:rsid w:val="00D74742"/>
    <w:rsid w:val="00D80294"/>
    <w:rsid w:val="00DB7BA7"/>
    <w:rsid w:val="00DD06FF"/>
    <w:rsid w:val="00DD5FE9"/>
    <w:rsid w:val="00E00C7A"/>
    <w:rsid w:val="00E01159"/>
    <w:rsid w:val="00E122BF"/>
    <w:rsid w:val="00E37D6C"/>
    <w:rsid w:val="00E55B68"/>
    <w:rsid w:val="00E67BE6"/>
    <w:rsid w:val="00E71A1C"/>
    <w:rsid w:val="00E7550E"/>
    <w:rsid w:val="00E80123"/>
    <w:rsid w:val="00E8683C"/>
    <w:rsid w:val="00E93983"/>
    <w:rsid w:val="00EA05A5"/>
    <w:rsid w:val="00EA2B72"/>
    <w:rsid w:val="00EA51B6"/>
    <w:rsid w:val="00EC1FB4"/>
    <w:rsid w:val="00EC2A29"/>
    <w:rsid w:val="00EC579B"/>
    <w:rsid w:val="00EE5C14"/>
    <w:rsid w:val="00F035F0"/>
    <w:rsid w:val="00F74360"/>
    <w:rsid w:val="00F95CBB"/>
    <w:rsid w:val="00FA3D81"/>
    <w:rsid w:val="00FA5426"/>
    <w:rsid w:val="00FB462F"/>
    <w:rsid w:val="00FC50AB"/>
    <w:rsid w:val="00FC62C6"/>
    <w:rsid w:val="00FE16FA"/>
    <w:rsid w:val="00FE328A"/>
    <w:rsid w:val="00FE6269"/>
    <w:rsid w:val="00FE7A8C"/>
    <w:rsid w:val="08D4046D"/>
    <w:rsid w:val="0E225947"/>
    <w:rsid w:val="0F160189"/>
    <w:rsid w:val="1B9C2EFA"/>
    <w:rsid w:val="2F7A0132"/>
    <w:rsid w:val="38130EAA"/>
    <w:rsid w:val="3EFF5088"/>
    <w:rsid w:val="43340846"/>
    <w:rsid w:val="4EEB5A0E"/>
    <w:rsid w:val="50155F99"/>
    <w:rsid w:val="50F11007"/>
    <w:rsid w:val="54723614"/>
    <w:rsid w:val="573811C9"/>
    <w:rsid w:val="58494F71"/>
    <w:rsid w:val="5B607F70"/>
    <w:rsid w:val="5C4208CA"/>
    <w:rsid w:val="63B1089F"/>
    <w:rsid w:val="64D929D0"/>
    <w:rsid w:val="68B40E4E"/>
    <w:rsid w:val="6F14725D"/>
    <w:rsid w:val="6F2D47DB"/>
    <w:rsid w:val="729759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65"/>
    <w:pPr>
      <w:widowControl w:val="0"/>
      <w:jc w:val="both"/>
    </w:pPr>
    <w:rPr>
      <w:rFonts w:asciiTheme="minorHAnsi" w:hAnsiTheme="minorHAnsi" w:cstheme="minorBidi"/>
      <w:kern w:val="2"/>
      <w:sz w:val="21"/>
      <w:szCs w:val="22"/>
    </w:rPr>
  </w:style>
  <w:style w:type="paragraph" w:styleId="2">
    <w:name w:val="heading 2"/>
    <w:basedOn w:val="a"/>
    <w:next w:val="a"/>
    <w:link w:val="2Char"/>
    <w:qFormat/>
    <w:rsid w:val="00481B65"/>
    <w:pPr>
      <w:spacing w:before="100" w:beforeAutospacing="1" w:after="100"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Char"/>
    <w:qFormat/>
    <w:rsid w:val="00481B65"/>
    <w:pPr>
      <w:spacing w:before="100" w:beforeAutospacing="1" w:after="100" w:afterAutospacing="1"/>
      <w:jc w:val="left"/>
      <w:outlineLvl w:val="2"/>
    </w:pPr>
    <w:rPr>
      <w:rFonts w:ascii="宋体" w:eastAsia="宋体" w:hAnsi="宋体" w:cs="Times New Roman" w:hint="eastAsia"/>
      <w:b/>
      <w:kern w:val="0"/>
      <w:sz w:val="27"/>
      <w:szCs w:val="27"/>
    </w:rPr>
  </w:style>
  <w:style w:type="paragraph" w:styleId="6">
    <w:name w:val="heading 6"/>
    <w:basedOn w:val="a"/>
    <w:next w:val="a"/>
    <w:link w:val="6Char"/>
    <w:qFormat/>
    <w:rsid w:val="00481B65"/>
    <w:pPr>
      <w:spacing w:before="100" w:beforeAutospacing="1" w:after="100"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rsid w:val="00481B65"/>
    <w:pPr>
      <w:ind w:left="1680"/>
    </w:pPr>
    <w:rPr>
      <w:rFonts w:ascii="Calibri" w:eastAsia="宋体" w:hAnsi="Calibri" w:cs="Times New Roman"/>
      <w:szCs w:val="24"/>
    </w:rPr>
  </w:style>
  <w:style w:type="paragraph" w:styleId="a3">
    <w:name w:val="annotation text"/>
    <w:basedOn w:val="a"/>
    <w:link w:val="Char"/>
    <w:qFormat/>
    <w:rsid w:val="00481B65"/>
    <w:pPr>
      <w:jc w:val="left"/>
    </w:pPr>
    <w:rPr>
      <w:rFonts w:ascii="Calibri" w:eastAsia="宋体" w:hAnsi="Calibri" w:cs="Times New Roman"/>
      <w:szCs w:val="24"/>
    </w:rPr>
  </w:style>
  <w:style w:type="paragraph" w:styleId="a4">
    <w:name w:val="Balloon Text"/>
    <w:basedOn w:val="a"/>
    <w:link w:val="Char0"/>
    <w:uiPriority w:val="99"/>
    <w:semiHidden/>
    <w:unhideWhenUsed/>
    <w:qFormat/>
    <w:rsid w:val="00481B65"/>
    <w:rPr>
      <w:sz w:val="18"/>
      <w:szCs w:val="18"/>
    </w:rPr>
  </w:style>
  <w:style w:type="paragraph" w:styleId="a5">
    <w:name w:val="footer"/>
    <w:basedOn w:val="a"/>
    <w:link w:val="Char1"/>
    <w:unhideWhenUsed/>
    <w:qFormat/>
    <w:rsid w:val="00481B65"/>
    <w:pPr>
      <w:tabs>
        <w:tab w:val="center" w:pos="4153"/>
        <w:tab w:val="right" w:pos="8306"/>
      </w:tabs>
      <w:snapToGrid w:val="0"/>
      <w:jc w:val="left"/>
    </w:pPr>
    <w:rPr>
      <w:sz w:val="18"/>
      <w:szCs w:val="18"/>
    </w:rPr>
  </w:style>
  <w:style w:type="paragraph" w:styleId="a6">
    <w:name w:val="header"/>
    <w:basedOn w:val="a"/>
    <w:link w:val="Char2"/>
    <w:unhideWhenUsed/>
    <w:qFormat/>
    <w:rsid w:val="00481B6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rsid w:val="0048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7">
    <w:name w:val="Normal (Web)"/>
    <w:basedOn w:val="a"/>
    <w:unhideWhenUsed/>
    <w:qFormat/>
    <w:rsid w:val="00481B65"/>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qFormat/>
    <w:rsid w:val="00481B65"/>
    <w:rPr>
      <w:color w:val="0000FF"/>
      <w:u w:val="single"/>
    </w:rPr>
  </w:style>
  <w:style w:type="character" w:customStyle="1" w:styleId="Char2">
    <w:name w:val="页眉 Char"/>
    <w:basedOn w:val="a0"/>
    <w:link w:val="a6"/>
    <w:uiPriority w:val="99"/>
    <w:qFormat/>
    <w:rsid w:val="00481B65"/>
    <w:rPr>
      <w:sz w:val="18"/>
      <w:szCs w:val="18"/>
    </w:rPr>
  </w:style>
  <w:style w:type="character" w:customStyle="1" w:styleId="Char1">
    <w:name w:val="页脚 Char"/>
    <w:basedOn w:val="a0"/>
    <w:link w:val="a5"/>
    <w:uiPriority w:val="99"/>
    <w:qFormat/>
    <w:rsid w:val="00481B65"/>
    <w:rPr>
      <w:sz w:val="18"/>
      <w:szCs w:val="18"/>
    </w:rPr>
  </w:style>
  <w:style w:type="paragraph" w:customStyle="1" w:styleId="Default">
    <w:name w:val="Default"/>
    <w:qFormat/>
    <w:rsid w:val="00481B65"/>
    <w:pPr>
      <w:widowControl w:val="0"/>
      <w:autoSpaceDE w:val="0"/>
      <w:autoSpaceDN w:val="0"/>
      <w:adjustRightInd w:val="0"/>
    </w:pPr>
    <w:rPr>
      <w:rFonts w:ascii="黑体" w:eastAsia="黑体" w:hAnsiTheme="minorHAnsi" w:cs="黑体"/>
      <w:color w:val="000000"/>
      <w:sz w:val="24"/>
      <w:szCs w:val="24"/>
    </w:rPr>
  </w:style>
  <w:style w:type="paragraph" w:styleId="a9">
    <w:name w:val="List Paragraph"/>
    <w:basedOn w:val="a"/>
    <w:qFormat/>
    <w:rsid w:val="00481B65"/>
    <w:pPr>
      <w:ind w:firstLineChars="200" w:firstLine="420"/>
    </w:pPr>
  </w:style>
  <w:style w:type="character" w:customStyle="1" w:styleId="Char0">
    <w:name w:val="批注框文本 Char"/>
    <w:basedOn w:val="a0"/>
    <w:link w:val="a4"/>
    <w:uiPriority w:val="99"/>
    <w:semiHidden/>
    <w:qFormat/>
    <w:rsid w:val="00481B65"/>
    <w:rPr>
      <w:sz w:val="18"/>
      <w:szCs w:val="18"/>
    </w:rPr>
  </w:style>
  <w:style w:type="character" w:customStyle="1" w:styleId="2Char">
    <w:name w:val="标题 2 Char"/>
    <w:basedOn w:val="a0"/>
    <w:link w:val="2"/>
    <w:qFormat/>
    <w:rsid w:val="00481B65"/>
    <w:rPr>
      <w:rFonts w:ascii="宋体" w:eastAsia="宋体" w:hAnsi="宋体" w:cs="Times New Roman"/>
      <w:b/>
      <w:sz w:val="36"/>
      <w:szCs w:val="36"/>
    </w:rPr>
  </w:style>
  <w:style w:type="character" w:customStyle="1" w:styleId="3Char">
    <w:name w:val="标题 3 Char"/>
    <w:basedOn w:val="a0"/>
    <w:link w:val="3"/>
    <w:qFormat/>
    <w:rsid w:val="00481B65"/>
    <w:rPr>
      <w:rFonts w:ascii="宋体" w:eastAsia="宋体" w:hAnsi="宋体" w:cs="Times New Roman"/>
      <w:b/>
      <w:sz w:val="27"/>
      <w:szCs w:val="27"/>
    </w:rPr>
  </w:style>
  <w:style w:type="character" w:customStyle="1" w:styleId="6Char">
    <w:name w:val="标题 6 Char"/>
    <w:basedOn w:val="a0"/>
    <w:link w:val="6"/>
    <w:qFormat/>
    <w:rsid w:val="00481B65"/>
    <w:rPr>
      <w:rFonts w:ascii="宋体" w:eastAsia="宋体" w:hAnsi="宋体" w:cs="Times New Roman"/>
      <w:b/>
      <w:sz w:val="15"/>
      <w:szCs w:val="15"/>
    </w:rPr>
  </w:style>
  <w:style w:type="character" w:customStyle="1" w:styleId="Char">
    <w:name w:val="批注文字 Char"/>
    <w:basedOn w:val="a0"/>
    <w:link w:val="a3"/>
    <w:qFormat/>
    <w:rsid w:val="00481B65"/>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4933</Words>
  <Characters>28122</Characters>
  <Application>Microsoft Office Word</Application>
  <DocSecurity>0</DocSecurity>
  <Lines>234</Lines>
  <Paragraphs>65</Paragraphs>
  <ScaleCrop>false</ScaleCrop>
  <Company>Microsoft</Company>
  <LinksUpToDate>false</LinksUpToDate>
  <CharactersWithSpaces>32990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田婵</cp:lastModifiedBy>
  <cp:revision>4</cp:revision>
  <cp:lastPrinted>2021-09-15T16:09:00Z</cp:lastPrinted>
  <dcterms:created xsi:type="dcterms:W3CDTF">2021-09-17T02:08:00Z</dcterms:created>
  <dcterms:modified xsi:type="dcterms:W3CDTF">2021-09-17T08:18:00Z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70EB668F4D074B5FAA2AC029F714551B</vt:lpwstr>
  </property>
</Properties>
</file>